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F4" w:rsidRPr="00FC302F" w:rsidRDefault="00CC60B4" w:rsidP="00D30EBC">
      <w:pPr>
        <w:ind w:hanging="142"/>
        <w:rPr>
          <w:rFonts w:asciiTheme="minorHAnsi" w:hAnsiTheme="minorHAnsi" w:cs="Arial"/>
          <w:color w:val="00B050"/>
          <w:szCs w:val="24"/>
          <w:u w:val="single"/>
        </w:rPr>
      </w:pPr>
      <w:r w:rsidRPr="00FC302F">
        <w:rPr>
          <w:rFonts w:asciiTheme="minorHAnsi" w:hAnsiTheme="minorHAnsi" w:cs="Arial"/>
          <w:szCs w:val="24"/>
        </w:rPr>
        <w:t>Kulttuuri ja luonnonperintö</w:t>
      </w:r>
      <w:r w:rsidR="00744354" w:rsidRPr="00FC302F">
        <w:rPr>
          <w:rFonts w:asciiTheme="minorHAnsi" w:hAnsiTheme="minorHAnsi" w:cs="Arial"/>
          <w:szCs w:val="24"/>
        </w:rPr>
        <w:t xml:space="preserve"> M07</w:t>
      </w:r>
    </w:p>
    <w:p w:rsidR="00DA4E27" w:rsidRPr="00FC302F" w:rsidRDefault="00DA4E27" w:rsidP="00DA4E27">
      <w:pPr>
        <w:rPr>
          <w:rFonts w:asciiTheme="minorHAnsi" w:hAnsiTheme="minorHAnsi" w:cs="Arial"/>
          <w:szCs w:val="24"/>
        </w:rPr>
      </w:pPr>
      <w:r w:rsidRPr="00FC302F">
        <w:rPr>
          <w:rFonts w:asciiTheme="minorHAnsi" w:hAnsiTheme="minorHAnsi" w:cs="Arial"/>
          <w:szCs w:val="24"/>
        </w:rPr>
        <w:t xml:space="preserve">  </w:t>
      </w:r>
    </w:p>
    <w:tbl>
      <w:tblPr>
        <w:tblStyle w:val="Vaaleavarjostus-korostus11"/>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9"/>
      </w:tblGrid>
      <w:tr w:rsidR="00D30EBC" w:rsidRPr="00FC302F" w:rsidTr="000B7B43">
        <w:trPr>
          <w:cnfStyle w:val="100000000000" w:firstRow="1" w:lastRow="0" w:firstColumn="0" w:lastColumn="0" w:oddVBand="0" w:evenVBand="0" w:oddHBand="0" w:evenHBand="0" w:firstRowFirstColumn="0" w:firstRowLastColumn="0" w:lastRowFirstColumn="0" w:lastRowLastColumn="0"/>
          <w:trHeight w:val="922"/>
        </w:trPr>
        <w:tc>
          <w:tcPr>
            <w:cnfStyle w:val="001000000000" w:firstRow="0" w:lastRow="0" w:firstColumn="1" w:lastColumn="0" w:oddVBand="0" w:evenVBand="0" w:oddHBand="0" w:evenHBand="0" w:firstRowFirstColumn="0" w:firstRowLastColumn="0" w:lastRowFirstColumn="0" w:lastRowLastColumn="0"/>
            <w:tcW w:w="9989" w:type="dxa"/>
            <w:tcBorders>
              <w:top w:val="none" w:sz="0" w:space="0" w:color="auto"/>
              <w:left w:val="none" w:sz="0" w:space="0" w:color="auto"/>
              <w:bottom w:val="none" w:sz="0" w:space="0" w:color="auto"/>
              <w:right w:val="none" w:sz="0" w:space="0" w:color="auto"/>
            </w:tcBorders>
          </w:tcPr>
          <w:p w:rsidR="008F5545" w:rsidRPr="00FC302F" w:rsidRDefault="008F5545" w:rsidP="008F5545">
            <w:pPr>
              <w:autoSpaceDE w:val="0"/>
              <w:autoSpaceDN w:val="0"/>
              <w:adjustRightInd w:val="0"/>
              <w:rPr>
                <w:rFonts w:asciiTheme="minorHAnsi" w:eastAsiaTheme="minorHAnsi" w:hAnsiTheme="minorHAnsi"/>
                <w:sz w:val="22"/>
              </w:rPr>
            </w:pPr>
          </w:p>
          <w:p w:rsidR="004931A6" w:rsidRPr="00FC302F" w:rsidRDefault="008F5545" w:rsidP="008F5545">
            <w:pPr>
              <w:autoSpaceDE w:val="0"/>
              <w:autoSpaceDN w:val="0"/>
              <w:adjustRightInd w:val="0"/>
              <w:rPr>
                <w:rFonts w:asciiTheme="minorHAnsi" w:eastAsiaTheme="minorHAnsi" w:hAnsiTheme="minorHAnsi"/>
                <w:sz w:val="22"/>
              </w:rPr>
            </w:pPr>
            <w:r w:rsidRPr="00FC302F">
              <w:rPr>
                <w:rFonts w:asciiTheme="minorHAnsi" w:eastAsiaTheme="minorHAnsi" w:hAnsiTheme="minorHAnsi"/>
                <w:sz w:val="22"/>
              </w:rPr>
              <w:t>K</w:t>
            </w:r>
            <w:r w:rsidR="00CC60B4" w:rsidRPr="00FC302F">
              <w:rPr>
                <w:rFonts w:asciiTheme="minorHAnsi" w:eastAsiaTheme="minorHAnsi" w:hAnsiTheme="minorHAnsi"/>
                <w:sz w:val="22"/>
              </w:rPr>
              <w:t>ylien, maaseutumaiseman ja luonnonarvoltaan merkittävien alueiden kulttuuri- ja</w:t>
            </w:r>
            <w:r w:rsidRPr="00FC302F">
              <w:rPr>
                <w:rFonts w:asciiTheme="minorHAnsi" w:eastAsiaTheme="minorHAnsi" w:hAnsiTheme="minorHAnsi"/>
                <w:sz w:val="22"/>
              </w:rPr>
              <w:t xml:space="preserve"> </w:t>
            </w:r>
            <w:r w:rsidR="00CC60B4" w:rsidRPr="00FC302F">
              <w:rPr>
                <w:rFonts w:asciiTheme="minorHAnsi" w:eastAsiaTheme="minorHAnsi" w:hAnsiTheme="minorHAnsi"/>
                <w:sz w:val="22"/>
              </w:rPr>
              <w:t>luonnonperinnön säilyttämi</w:t>
            </w:r>
            <w:r w:rsidRPr="00FC302F">
              <w:rPr>
                <w:rFonts w:asciiTheme="minorHAnsi" w:eastAsiaTheme="minorHAnsi" w:hAnsiTheme="minorHAnsi"/>
                <w:sz w:val="22"/>
              </w:rPr>
              <w:t>seen, ennallistamiseen ja kohentamiseen liittyvät selvityk</w:t>
            </w:r>
            <w:r w:rsidR="00CC60B4" w:rsidRPr="00FC302F">
              <w:rPr>
                <w:rFonts w:asciiTheme="minorHAnsi" w:eastAsiaTheme="minorHAnsi" w:hAnsiTheme="minorHAnsi"/>
                <w:sz w:val="22"/>
              </w:rPr>
              <w:t>s</w:t>
            </w:r>
            <w:r w:rsidRPr="00FC302F">
              <w:rPr>
                <w:rFonts w:asciiTheme="minorHAnsi" w:eastAsiaTheme="minorHAnsi" w:hAnsiTheme="minorHAnsi"/>
                <w:sz w:val="22"/>
              </w:rPr>
              <w:t xml:space="preserve">et </w:t>
            </w:r>
            <w:r w:rsidR="00CC60B4" w:rsidRPr="00FC302F">
              <w:rPr>
                <w:rFonts w:asciiTheme="minorHAnsi" w:eastAsiaTheme="minorHAnsi" w:hAnsiTheme="minorHAnsi"/>
                <w:sz w:val="22"/>
              </w:rPr>
              <w:t>ja</w:t>
            </w:r>
            <w:r w:rsidRPr="00FC302F">
              <w:rPr>
                <w:rFonts w:asciiTheme="minorHAnsi" w:eastAsiaTheme="minorHAnsi" w:hAnsiTheme="minorHAnsi"/>
                <w:sz w:val="22"/>
              </w:rPr>
              <w:t xml:space="preserve"> investoinnit (sosioekonomiset näkökohdat mukaan luettuna) sekä teemaan liittyvät </w:t>
            </w:r>
            <w:r w:rsidR="00CC60B4" w:rsidRPr="00FC302F">
              <w:rPr>
                <w:rFonts w:asciiTheme="minorHAnsi" w:eastAsiaTheme="minorHAnsi" w:hAnsiTheme="minorHAnsi"/>
                <w:sz w:val="22"/>
              </w:rPr>
              <w:t>ympäristöalan</w:t>
            </w:r>
            <w:r w:rsidRPr="00FC302F">
              <w:rPr>
                <w:rFonts w:asciiTheme="minorHAnsi" w:eastAsiaTheme="minorHAnsi" w:hAnsiTheme="minorHAnsi"/>
                <w:sz w:val="22"/>
              </w:rPr>
              <w:t xml:space="preserve"> tiedotustoimenpiteet</w:t>
            </w:r>
            <w:r w:rsidR="00744354" w:rsidRPr="00FC302F">
              <w:rPr>
                <w:rFonts w:asciiTheme="minorHAnsi" w:eastAsiaTheme="minorHAnsi" w:hAnsiTheme="minorHAnsi"/>
                <w:sz w:val="22"/>
              </w:rPr>
              <w:t xml:space="preserve"> (</w:t>
            </w:r>
            <w:r w:rsidR="00744354" w:rsidRPr="00FC302F">
              <w:rPr>
                <w:rFonts w:asciiTheme="minorHAnsi" w:hAnsiTheme="minorHAnsi" w:cs="Arial"/>
                <w:sz w:val="22"/>
              </w:rPr>
              <w:t>koodi 7.6)</w:t>
            </w:r>
          </w:p>
          <w:p w:rsidR="00CC60B4" w:rsidRPr="00FC302F" w:rsidRDefault="00CC60B4" w:rsidP="00CC60B4">
            <w:pPr>
              <w:rPr>
                <w:rFonts w:asciiTheme="minorHAnsi" w:hAnsiTheme="minorHAnsi" w:cs="Arial"/>
                <w:szCs w:val="24"/>
              </w:rPr>
            </w:pPr>
          </w:p>
        </w:tc>
      </w:tr>
      <w:tr w:rsidR="00D30EBC" w:rsidRPr="00FC302F" w:rsidTr="000B7B43">
        <w:trPr>
          <w:cnfStyle w:val="000000100000" w:firstRow="0" w:lastRow="0" w:firstColumn="0" w:lastColumn="0" w:oddVBand="0" w:evenVBand="0" w:oddHBand="1" w:evenHBand="0" w:firstRowFirstColumn="0" w:firstRowLastColumn="0" w:lastRowFirstColumn="0" w:lastRowLastColumn="0"/>
          <w:trHeight w:val="1252"/>
        </w:trPr>
        <w:tc>
          <w:tcPr>
            <w:cnfStyle w:val="001000000000" w:firstRow="0" w:lastRow="0" w:firstColumn="1" w:lastColumn="0" w:oddVBand="0" w:evenVBand="0" w:oddHBand="0" w:evenHBand="0" w:firstRowFirstColumn="0" w:firstRowLastColumn="0" w:lastRowFirstColumn="0" w:lastRowLastColumn="0"/>
            <w:tcW w:w="9989" w:type="dxa"/>
            <w:tcBorders>
              <w:left w:val="none" w:sz="0" w:space="0" w:color="auto"/>
              <w:right w:val="none" w:sz="0" w:space="0" w:color="auto"/>
            </w:tcBorders>
          </w:tcPr>
          <w:p w:rsidR="000B7B43" w:rsidRPr="00FC302F" w:rsidRDefault="00D30EBC" w:rsidP="000B7B43">
            <w:pPr>
              <w:spacing w:after="240"/>
              <w:rPr>
                <w:rFonts w:asciiTheme="minorHAnsi" w:hAnsiTheme="minorHAnsi" w:cs="Arial"/>
                <w:szCs w:val="24"/>
              </w:rPr>
            </w:pPr>
            <w:r w:rsidRPr="00FC302F">
              <w:rPr>
                <w:rFonts w:asciiTheme="minorHAnsi" w:hAnsiTheme="minorHAnsi" w:cs="Arial"/>
                <w:szCs w:val="24"/>
              </w:rPr>
              <w:t xml:space="preserve">Kuvaus: </w:t>
            </w:r>
          </w:p>
          <w:p w:rsidR="00EB5515" w:rsidRPr="00FC302F" w:rsidRDefault="00EB5515" w:rsidP="00EB5515">
            <w:pPr>
              <w:autoSpaceDE w:val="0"/>
              <w:autoSpaceDN w:val="0"/>
              <w:adjustRightInd w:val="0"/>
              <w:rPr>
                <w:rFonts w:asciiTheme="minorHAnsi" w:eastAsiaTheme="minorHAnsi" w:hAnsiTheme="minorHAnsi"/>
                <w:b w:val="0"/>
                <w:sz w:val="22"/>
              </w:rPr>
            </w:pPr>
            <w:r w:rsidRPr="00FC302F">
              <w:rPr>
                <w:rFonts w:asciiTheme="minorHAnsi" w:eastAsiaTheme="minorHAnsi" w:hAnsiTheme="minorHAnsi"/>
                <w:b w:val="0"/>
                <w:sz w:val="22"/>
              </w:rPr>
              <w:t>Toimenpiteessä toteutetaan hankkeita, joilla suunnitellaan, selvitetään tai kehitetään kylien,</w:t>
            </w:r>
          </w:p>
          <w:p w:rsidR="00EB5515" w:rsidRPr="00FC302F" w:rsidRDefault="00EB5515" w:rsidP="00EB5515">
            <w:pPr>
              <w:autoSpaceDE w:val="0"/>
              <w:autoSpaceDN w:val="0"/>
              <w:adjustRightInd w:val="0"/>
              <w:rPr>
                <w:rFonts w:asciiTheme="minorHAnsi" w:eastAsiaTheme="minorHAnsi" w:hAnsiTheme="minorHAnsi"/>
                <w:b w:val="0"/>
                <w:sz w:val="22"/>
              </w:rPr>
            </w:pPr>
            <w:r w:rsidRPr="00FC302F">
              <w:rPr>
                <w:rFonts w:asciiTheme="minorHAnsi" w:eastAsiaTheme="minorHAnsi" w:hAnsiTheme="minorHAnsi"/>
                <w:b w:val="0"/>
                <w:sz w:val="22"/>
              </w:rPr>
              <w:t xml:space="preserve">maaseutumaiseman ja luonnonarvoltaan merkittävien alueiden kulttuuri- ja luonnonperinnön säilyttämistä, ennallistamista ja toteutetaan kohentamiseen liittyviä selvityksiä ja investointeja. </w:t>
            </w:r>
          </w:p>
          <w:p w:rsidR="00EB5515" w:rsidRPr="00FC302F" w:rsidRDefault="00EB5515" w:rsidP="00EB5515">
            <w:pPr>
              <w:autoSpaceDE w:val="0"/>
              <w:autoSpaceDN w:val="0"/>
              <w:adjustRightInd w:val="0"/>
              <w:rPr>
                <w:rFonts w:asciiTheme="minorHAnsi" w:eastAsiaTheme="minorHAnsi" w:hAnsiTheme="minorHAnsi"/>
                <w:b w:val="0"/>
                <w:sz w:val="22"/>
              </w:rPr>
            </w:pPr>
          </w:p>
          <w:p w:rsidR="00EB5515" w:rsidRPr="00FC302F" w:rsidRDefault="00EB5515" w:rsidP="00EB5515">
            <w:pPr>
              <w:autoSpaceDE w:val="0"/>
              <w:autoSpaceDN w:val="0"/>
              <w:adjustRightInd w:val="0"/>
              <w:rPr>
                <w:rFonts w:asciiTheme="minorHAnsi" w:eastAsiaTheme="minorHAnsi" w:hAnsiTheme="minorHAnsi"/>
                <w:b w:val="0"/>
                <w:sz w:val="22"/>
              </w:rPr>
            </w:pPr>
            <w:r w:rsidRPr="00FC302F">
              <w:rPr>
                <w:rFonts w:asciiTheme="minorHAnsi" w:eastAsiaTheme="minorHAnsi" w:hAnsiTheme="minorHAnsi"/>
                <w:b w:val="0"/>
                <w:sz w:val="22"/>
              </w:rPr>
              <w:t>Toimenpiteessä toteutetaan hankkeita, jotka kehittävät maaseudun kulttuuri- tai</w:t>
            </w:r>
          </w:p>
          <w:p w:rsidR="00744354" w:rsidRPr="00FC302F" w:rsidRDefault="00EB5515" w:rsidP="00EB5515">
            <w:pPr>
              <w:autoSpaceDE w:val="0"/>
              <w:autoSpaceDN w:val="0"/>
              <w:adjustRightInd w:val="0"/>
              <w:rPr>
                <w:rFonts w:asciiTheme="minorHAnsi" w:eastAsiaTheme="minorHAnsi" w:hAnsiTheme="minorHAnsi"/>
                <w:b w:val="0"/>
                <w:sz w:val="22"/>
              </w:rPr>
            </w:pPr>
            <w:r w:rsidRPr="00FC302F">
              <w:rPr>
                <w:rFonts w:asciiTheme="minorHAnsi" w:eastAsiaTheme="minorHAnsi" w:hAnsiTheme="minorHAnsi"/>
                <w:b w:val="0"/>
                <w:sz w:val="22"/>
              </w:rPr>
              <w:t>luonnonperintökohteita</w:t>
            </w:r>
            <w:r w:rsidR="008F5545" w:rsidRPr="00FC302F">
              <w:rPr>
                <w:rFonts w:asciiTheme="minorHAnsi" w:eastAsiaTheme="minorHAnsi" w:hAnsiTheme="minorHAnsi"/>
                <w:b w:val="0"/>
                <w:sz w:val="22"/>
              </w:rPr>
              <w:t xml:space="preserve"> ja niiden käyttöä</w:t>
            </w:r>
            <w:r w:rsidRPr="00FC302F">
              <w:rPr>
                <w:rFonts w:asciiTheme="minorHAnsi" w:eastAsiaTheme="minorHAnsi" w:hAnsiTheme="minorHAnsi"/>
                <w:b w:val="0"/>
                <w:sz w:val="22"/>
              </w:rPr>
              <w:t xml:space="preserve"> </w:t>
            </w:r>
            <w:r w:rsidR="008F5545" w:rsidRPr="00FC302F">
              <w:rPr>
                <w:rFonts w:asciiTheme="minorHAnsi" w:eastAsiaTheme="minorHAnsi" w:hAnsiTheme="minorHAnsi"/>
                <w:b w:val="0"/>
                <w:sz w:val="22"/>
              </w:rPr>
              <w:t>sekä</w:t>
            </w:r>
            <w:r w:rsidRPr="00FC302F">
              <w:rPr>
                <w:rFonts w:asciiTheme="minorHAnsi" w:eastAsiaTheme="minorHAnsi" w:hAnsiTheme="minorHAnsi"/>
                <w:b w:val="0"/>
                <w:sz w:val="22"/>
              </w:rPr>
              <w:t xml:space="preserve"> luonno</w:t>
            </w:r>
            <w:r w:rsidR="00744354" w:rsidRPr="00FC302F">
              <w:rPr>
                <w:rFonts w:asciiTheme="minorHAnsi" w:eastAsiaTheme="minorHAnsi" w:hAnsiTheme="minorHAnsi"/>
                <w:b w:val="0"/>
                <w:sz w:val="22"/>
              </w:rPr>
              <w:t>narvoltaan merkittäviä paikkoja</w:t>
            </w:r>
            <w:r w:rsidRPr="00FC302F">
              <w:rPr>
                <w:rFonts w:asciiTheme="minorHAnsi" w:eastAsiaTheme="minorHAnsi" w:hAnsiTheme="minorHAnsi"/>
                <w:b w:val="0"/>
                <w:sz w:val="22"/>
              </w:rPr>
              <w:t xml:space="preserve"> ja edistävät niiden suojelua</w:t>
            </w:r>
            <w:r w:rsidR="00744354" w:rsidRPr="00FC302F">
              <w:rPr>
                <w:rFonts w:asciiTheme="minorHAnsi" w:eastAsiaTheme="minorHAnsi" w:hAnsiTheme="minorHAnsi"/>
                <w:b w:val="0"/>
                <w:sz w:val="22"/>
              </w:rPr>
              <w:t>.</w:t>
            </w:r>
          </w:p>
          <w:p w:rsidR="00744354" w:rsidRPr="00FC302F" w:rsidRDefault="00744354" w:rsidP="00EB5515">
            <w:pPr>
              <w:autoSpaceDE w:val="0"/>
              <w:autoSpaceDN w:val="0"/>
              <w:adjustRightInd w:val="0"/>
              <w:rPr>
                <w:rFonts w:asciiTheme="minorHAnsi" w:eastAsiaTheme="minorHAnsi" w:hAnsiTheme="minorHAnsi"/>
                <w:b w:val="0"/>
                <w:sz w:val="22"/>
              </w:rPr>
            </w:pPr>
          </w:p>
          <w:p w:rsidR="00EB5515" w:rsidRPr="00FC302F" w:rsidRDefault="00EB5515" w:rsidP="00EB5515">
            <w:pPr>
              <w:autoSpaceDE w:val="0"/>
              <w:autoSpaceDN w:val="0"/>
              <w:adjustRightInd w:val="0"/>
              <w:rPr>
                <w:rFonts w:asciiTheme="minorHAnsi" w:eastAsiaTheme="minorHAnsi" w:hAnsiTheme="minorHAnsi"/>
                <w:b w:val="0"/>
                <w:sz w:val="22"/>
              </w:rPr>
            </w:pPr>
            <w:r w:rsidRPr="00FC302F">
              <w:rPr>
                <w:rFonts w:asciiTheme="minorHAnsi" w:eastAsiaTheme="minorHAnsi" w:hAnsiTheme="minorHAnsi"/>
                <w:b w:val="0"/>
                <w:sz w:val="22"/>
              </w:rPr>
              <w:t>Lisäksi voidaan toteuttaa hankkeita, jotka liittyvät kylien kulttuuri- ja luonnonperinnön</w:t>
            </w:r>
            <w:r w:rsidR="008F5545" w:rsidRPr="00FC302F">
              <w:rPr>
                <w:rFonts w:asciiTheme="minorHAnsi" w:eastAsiaTheme="minorHAnsi" w:hAnsiTheme="minorHAnsi"/>
                <w:b w:val="0"/>
                <w:sz w:val="22"/>
              </w:rPr>
              <w:t xml:space="preserve"> </w:t>
            </w:r>
            <w:r w:rsidRPr="00FC302F">
              <w:rPr>
                <w:rFonts w:asciiTheme="minorHAnsi" w:eastAsiaTheme="minorHAnsi" w:hAnsiTheme="minorHAnsi"/>
                <w:b w:val="0"/>
                <w:sz w:val="22"/>
              </w:rPr>
              <w:t xml:space="preserve">kehittämiseen, kuten: yhteisten </w:t>
            </w:r>
            <w:r w:rsidR="00744354" w:rsidRPr="00FC302F">
              <w:rPr>
                <w:rFonts w:asciiTheme="minorHAnsi" w:eastAsiaTheme="minorHAnsi" w:hAnsiTheme="minorHAnsi"/>
                <w:b w:val="0"/>
                <w:sz w:val="22"/>
              </w:rPr>
              <w:t>kulttuuri</w:t>
            </w:r>
            <w:r w:rsidRPr="00FC302F">
              <w:rPr>
                <w:rFonts w:asciiTheme="minorHAnsi" w:eastAsiaTheme="minorHAnsi" w:hAnsiTheme="minorHAnsi"/>
                <w:b w:val="0"/>
                <w:sz w:val="22"/>
              </w:rPr>
              <w:t>tilojen ja paikkojen kunnostaminen ja</w:t>
            </w:r>
            <w:r w:rsidR="008F5545" w:rsidRPr="00FC302F">
              <w:rPr>
                <w:rFonts w:asciiTheme="minorHAnsi" w:eastAsiaTheme="minorHAnsi" w:hAnsiTheme="minorHAnsi"/>
                <w:b w:val="0"/>
                <w:sz w:val="22"/>
              </w:rPr>
              <w:t xml:space="preserve"> </w:t>
            </w:r>
            <w:r w:rsidRPr="00FC302F">
              <w:rPr>
                <w:rFonts w:asciiTheme="minorHAnsi" w:eastAsiaTheme="minorHAnsi" w:hAnsiTheme="minorHAnsi"/>
                <w:b w:val="0"/>
                <w:sz w:val="22"/>
              </w:rPr>
              <w:t>perustaminen sekä tapahtumien järjestäminen.</w:t>
            </w:r>
          </w:p>
          <w:p w:rsidR="00EB5515" w:rsidRPr="00FC302F" w:rsidRDefault="00EB5515" w:rsidP="00EB5515">
            <w:pPr>
              <w:autoSpaceDE w:val="0"/>
              <w:autoSpaceDN w:val="0"/>
              <w:adjustRightInd w:val="0"/>
              <w:rPr>
                <w:rFonts w:asciiTheme="minorHAnsi" w:eastAsiaTheme="minorHAnsi" w:hAnsiTheme="minorHAnsi"/>
                <w:b w:val="0"/>
                <w:sz w:val="22"/>
              </w:rPr>
            </w:pPr>
          </w:p>
          <w:p w:rsidR="00316D01" w:rsidRPr="00FC302F" w:rsidRDefault="00EB5515" w:rsidP="00EB5515">
            <w:pPr>
              <w:autoSpaceDE w:val="0"/>
              <w:autoSpaceDN w:val="0"/>
              <w:adjustRightInd w:val="0"/>
              <w:rPr>
                <w:rFonts w:asciiTheme="minorHAnsi" w:eastAsiaTheme="minorHAnsi" w:hAnsiTheme="minorHAnsi"/>
                <w:b w:val="0"/>
                <w:sz w:val="22"/>
              </w:rPr>
            </w:pPr>
            <w:r w:rsidRPr="00FC302F">
              <w:rPr>
                <w:rFonts w:asciiTheme="minorHAnsi" w:eastAsiaTheme="minorHAnsi" w:hAnsiTheme="minorHAnsi"/>
                <w:b w:val="0"/>
                <w:sz w:val="22"/>
              </w:rPr>
              <w:t>Tukea voidaan myöntää yleishyödyllisille kehittämishankkeille ja yleishyödyllisille investoinneille.</w:t>
            </w:r>
          </w:p>
          <w:p w:rsidR="004931A6" w:rsidRPr="00FC302F" w:rsidRDefault="004931A6" w:rsidP="00316D01">
            <w:pPr>
              <w:autoSpaceDE w:val="0"/>
              <w:autoSpaceDN w:val="0"/>
              <w:adjustRightInd w:val="0"/>
              <w:rPr>
                <w:rFonts w:asciiTheme="minorHAnsi" w:hAnsiTheme="minorHAnsi" w:cs="Arial"/>
                <w:szCs w:val="24"/>
              </w:rPr>
            </w:pPr>
          </w:p>
        </w:tc>
      </w:tr>
      <w:tr w:rsidR="00D30EBC" w:rsidRPr="00FC302F" w:rsidTr="000B7B43">
        <w:trPr>
          <w:trHeight w:val="1553"/>
        </w:trPr>
        <w:tc>
          <w:tcPr>
            <w:cnfStyle w:val="001000000000" w:firstRow="0" w:lastRow="0" w:firstColumn="1" w:lastColumn="0" w:oddVBand="0" w:evenVBand="0" w:oddHBand="0" w:evenHBand="0" w:firstRowFirstColumn="0" w:firstRowLastColumn="0" w:lastRowFirstColumn="0" w:lastRowLastColumn="0"/>
            <w:tcW w:w="9989" w:type="dxa"/>
          </w:tcPr>
          <w:p w:rsidR="00D30DC1" w:rsidRPr="00FC302F" w:rsidRDefault="00D30DC1" w:rsidP="00D30DC1">
            <w:pPr>
              <w:rPr>
                <w:rFonts w:asciiTheme="minorHAnsi" w:hAnsiTheme="minorHAnsi" w:cs="Arial"/>
                <w:b w:val="0"/>
                <w:szCs w:val="24"/>
              </w:rPr>
            </w:pPr>
            <w:r w:rsidRPr="00FC302F">
              <w:rPr>
                <w:rFonts w:asciiTheme="minorHAnsi" w:hAnsiTheme="minorHAnsi" w:cs="Arial"/>
                <w:szCs w:val="24"/>
              </w:rPr>
              <w:t>Mitä:</w:t>
            </w:r>
            <w:r w:rsidR="00D30EBC" w:rsidRPr="00FC302F">
              <w:rPr>
                <w:rFonts w:asciiTheme="minorHAnsi" w:hAnsiTheme="minorHAnsi" w:cs="Arial"/>
                <w:szCs w:val="24"/>
              </w:rPr>
              <w:t xml:space="preserve"> </w:t>
            </w:r>
          </w:p>
          <w:p w:rsidR="00EB5515" w:rsidRPr="00FC302F" w:rsidRDefault="00EB5515" w:rsidP="00EB5515">
            <w:pPr>
              <w:rPr>
                <w:rFonts w:asciiTheme="minorHAnsi" w:hAnsiTheme="minorHAnsi" w:cs="Arial"/>
                <w:b w:val="0"/>
                <w:szCs w:val="24"/>
              </w:rPr>
            </w:pPr>
          </w:p>
          <w:p w:rsidR="00EB5515" w:rsidRPr="00FC302F" w:rsidRDefault="00EB5515" w:rsidP="00EB5515">
            <w:pPr>
              <w:autoSpaceDE w:val="0"/>
              <w:autoSpaceDN w:val="0"/>
              <w:adjustRightInd w:val="0"/>
              <w:rPr>
                <w:rFonts w:asciiTheme="minorHAnsi" w:eastAsiaTheme="minorHAnsi" w:hAnsiTheme="minorHAnsi"/>
                <w:b w:val="0"/>
                <w:sz w:val="22"/>
              </w:rPr>
            </w:pPr>
            <w:r w:rsidRPr="00FC302F">
              <w:rPr>
                <w:rFonts w:asciiTheme="minorHAnsi" w:eastAsiaTheme="minorHAnsi" w:hAnsiTheme="minorHAnsi"/>
                <w:b w:val="0"/>
                <w:sz w:val="22"/>
              </w:rPr>
              <w:t>Hyväksyttäviä kustannuksia ovat hankkeiden toteuttamisesta aiheutuvat, tarpeelliset ja kohtuulliset</w:t>
            </w:r>
          </w:p>
          <w:p w:rsidR="00EB5515" w:rsidRPr="00FC302F" w:rsidRDefault="00EB5515" w:rsidP="00EB5515">
            <w:pPr>
              <w:autoSpaceDE w:val="0"/>
              <w:autoSpaceDN w:val="0"/>
              <w:adjustRightInd w:val="0"/>
              <w:rPr>
                <w:rFonts w:asciiTheme="minorHAnsi" w:eastAsiaTheme="minorHAnsi" w:hAnsiTheme="minorHAnsi"/>
                <w:b w:val="0"/>
                <w:sz w:val="22"/>
              </w:rPr>
            </w:pPr>
            <w:r w:rsidRPr="00FC302F">
              <w:rPr>
                <w:rFonts w:asciiTheme="minorHAnsi" w:eastAsiaTheme="minorHAnsi" w:hAnsiTheme="minorHAnsi"/>
                <w:b w:val="0"/>
                <w:sz w:val="22"/>
              </w:rPr>
              <w:t>kustannukset. Kehittämishankkeen tuki voi kattaa hankkeeseen liittyvät, tarpeelliset pienhankinnat.</w:t>
            </w:r>
          </w:p>
          <w:p w:rsidR="00EB5515" w:rsidRPr="00FC302F" w:rsidRDefault="00EB5515" w:rsidP="00EB5515">
            <w:pPr>
              <w:autoSpaceDE w:val="0"/>
              <w:autoSpaceDN w:val="0"/>
              <w:adjustRightInd w:val="0"/>
              <w:rPr>
                <w:rFonts w:asciiTheme="minorHAnsi" w:eastAsiaTheme="minorHAnsi" w:hAnsiTheme="minorHAnsi"/>
                <w:b w:val="0"/>
                <w:sz w:val="22"/>
              </w:rPr>
            </w:pPr>
          </w:p>
          <w:p w:rsidR="00EB5515" w:rsidRPr="00FC302F" w:rsidRDefault="00EB5515" w:rsidP="00EB5515">
            <w:pPr>
              <w:autoSpaceDE w:val="0"/>
              <w:autoSpaceDN w:val="0"/>
              <w:adjustRightInd w:val="0"/>
              <w:rPr>
                <w:rFonts w:asciiTheme="minorHAnsi" w:eastAsiaTheme="minorHAnsi" w:hAnsiTheme="minorHAnsi"/>
                <w:b w:val="0"/>
                <w:sz w:val="22"/>
              </w:rPr>
            </w:pPr>
            <w:r w:rsidRPr="00FC302F">
              <w:rPr>
                <w:rFonts w:asciiTheme="minorHAnsi" w:eastAsiaTheme="minorHAnsi" w:hAnsiTheme="minorHAnsi"/>
                <w:b w:val="0"/>
                <w:sz w:val="22"/>
              </w:rPr>
              <w:t>Tukea voidaan myöntää seuraaviin yleishyödyllisen kehittämishankkeen toteuttamisesta aiheutuviin kohtuullisiin kustannuksiin:</w:t>
            </w:r>
          </w:p>
          <w:p w:rsidR="00EB5515" w:rsidRPr="00FC302F" w:rsidRDefault="00EB5515" w:rsidP="00FC302F">
            <w:pPr>
              <w:pStyle w:val="Luettelokappale"/>
              <w:numPr>
                <w:ilvl w:val="0"/>
                <w:numId w:val="2"/>
              </w:numPr>
              <w:autoSpaceDE w:val="0"/>
              <w:autoSpaceDN w:val="0"/>
              <w:adjustRightInd w:val="0"/>
              <w:rPr>
                <w:rFonts w:asciiTheme="minorHAnsi" w:eastAsiaTheme="minorHAnsi" w:hAnsiTheme="minorHAnsi"/>
                <w:b w:val="0"/>
                <w:sz w:val="22"/>
              </w:rPr>
            </w:pPr>
            <w:r w:rsidRPr="00FC302F">
              <w:rPr>
                <w:rFonts w:asciiTheme="minorHAnsi" w:eastAsiaTheme="minorHAnsi" w:hAnsiTheme="minorHAnsi"/>
                <w:b w:val="0"/>
                <w:sz w:val="22"/>
              </w:rPr>
              <w:t>palkka- ja palkkiokustannuksiin;</w:t>
            </w:r>
          </w:p>
          <w:p w:rsidR="00EB5515" w:rsidRPr="00FC302F" w:rsidRDefault="00EB5515" w:rsidP="00FC302F">
            <w:pPr>
              <w:pStyle w:val="Luettelokappale"/>
              <w:numPr>
                <w:ilvl w:val="0"/>
                <w:numId w:val="2"/>
              </w:numPr>
              <w:autoSpaceDE w:val="0"/>
              <w:autoSpaceDN w:val="0"/>
              <w:adjustRightInd w:val="0"/>
              <w:rPr>
                <w:rFonts w:asciiTheme="minorHAnsi" w:eastAsiaTheme="minorHAnsi" w:hAnsiTheme="minorHAnsi"/>
                <w:b w:val="0"/>
                <w:sz w:val="22"/>
              </w:rPr>
            </w:pPr>
            <w:r w:rsidRPr="00FC302F">
              <w:rPr>
                <w:rFonts w:asciiTheme="minorHAnsi" w:eastAsiaTheme="minorHAnsi" w:hAnsiTheme="minorHAnsi"/>
                <w:b w:val="0"/>
                <w:sz w:val="22"/>
              </w:rPr>
              <w:t>matkakustannuksiin;</w:t>
            </w:r>
          </w:p>
          <w:p w:rsidR="00EB5515" w:rsidRPr="00FC302F" w:rsidRDefault="00EB5515" w:rsidP="00FC302F">
            <w:pPr>
              <w:pStyle w:val="Luettelokappale"/>
              <w:numPr>
                <w:ilvl w:val="0"/>
                <w:numId w:val="2"/>
              </w:numPr>
              <w:autoSpaceDE w:val="0"/>
              <w:autoSpaceDN w:val="0"/>
              <w:adjustRightInd w:val="0"/>
              <w:rPr>
                <w:rFonts w:asciiTheme="minorHAnsi" w:eastAsiaTheme="minorHAnsi" w:hAnsiTheme="minorHAnsi"/>
                <w:b w:val="0"/>
                <w:sz w:val="22"/>
              </w:rPr>
            </w:pPr>
            <w:r w:rsidRPr="00FC302F">
              <w:rPr>
                <w:rFonts w:asciiTheme="minorHAnsi" w:eastAsiaTheme="minorHAnsi" w:hAnsiTheme="minorHAnsi"/>
                <w:b w:val="0"/>
                <w:sz w:val="22"/>
              </w:rPr>
              <w:t>ostopalveluiden hankintaan;</w:t>
            </w:r>
          </w:p>
          <w:p w:rsidR="00EB5515" w:rsidRPr="00FC302F" w:rsidRDefault="00EB5515" w:rsidP="00FC302F">
            <w:pPr>
              <w:pStyle w:val="Luettelokappale"/>
              <w:numPr>
                <w:ilvl w:val="0"/>
                <w:numId w:val="2"/>
              </w:numPr>
              <w:autoSpaceDE w:val="0"/>
              <w:autoSpaceDN w:val="0"/>
              <w:adjustRightInd w:val="0"/>
              <w:rPr>
                <w:rFonts w:asciiTheme="minorHAnsi" w:eastAsiaTheme="minorHAnsi" w:hAnsiTheme="minorHAnsi"/>
                <w:b w:val="0"/>
                <w:sz w:val="22"/>
              </w:rPr>
            </w:pPr>
            <w:r w:rsidRPr="00FC302F">
              <w:rPr>
                <w:rFonts w:asciiTheme="minorHAnsi" w:eastAsiaTheme="minorHAnsi" w:hAnsiTheme="minorHAnsi"/>
                <w:b w:val="0"/>
                <w:sz w:val="22"/>
              </w:rPr>
              <w:t>vuokrakustannuksiin;</w:t>
            </w:r>
          </w:p>
          <w:p w:rsidR="00EB5515" w:rsidRPr="00FC302F" w:rsidRDefault="00EB5515" w:rsidP="00FC302F">
            <w:pPr>
              <w:pStyle w:val="Luettelokappale"/>
              <w:numPr>
                <w:ilvl w:val="0"/>
                <w:numId w:val="2"/>
              </w:numPr>
              <w:rPr>
                <w:rFonts w:asciiTheme="minorHAnsi" w:eastAsiaTheme="minorHAnsi" w:hAnsiTheme="minorHAnsi"/>
                <w:b w:val="0"/>
                <w:sz w:val="22"/>
              </w:rPr>
            </w:pPr>
            <w:r w:rsidRPr="00FC302F">
              <w:rPr>
                <w:rFonts w:asciiTheme="minorHAnsi" w:eastAsiaTheme="minorHAnsi" w:hAnsiTheme="minorHAnsi"/>
                <w:b w:val="0"/>
                <w:sz w:val="22"/>
              </w:rPr>
              <w:t>materiaali- ja muihin toteutuksen kannalta välttämättömiin kustannuksiin</w:t>
            </w:r>
          </w:p>
          <w:p w:rsidR="00EB5515" w:rsidRPr="00FC302F" w:rsidRDefault="00EB5515" w:rsidP="00EB5515">
            <w:pPr>
              <w:rPr>
                <w:rFonts w:asciiTheme="minorHAnsi" w:eastAsiaTheme="minorHAnsi" w:hAnsiTheme="minorHAnsi"/>
                <w:b w:val="0"/>
                <w:sz w:val="22"/>
              </w:rPr>
            </w:pPr>
          </w:p>
          <w:p w:rsidR="00565F7A" w:rsidRPr="00FC302F" w:rsidRDefault="00565F7A" w:rsidP="00565F7A">
            <w:pPr>
              <w:autoSpaceDE w:val="0"/>
              <w:autoSpaceDN w:val="0"/>
              <w:adjustRightInd w:val="0"/>
              <w:rPr>
                <w:rFonts w:asciiTheme="minorHAnsi" w:eastAsiaTheme="minorHAnsi" w:hAnsiTheme="minorHAnsi"/>
                <w:b w:val="0"/>
                <w:sz w:val="22"/>
              </w:rPr>
            </w:pPr>
            <w:r w:rsidRPr="00FC302F">
              <w:rPr>
                <w:rFonts w:asciiTheme="minorHAnsi" w:eastAsiaTheme="minorHAnsi" w:hAnsiTheme="minorHAnsi"/>
                <w:b w:val="0"/>
                <w:sz w:val="22"/>
              </w:rPr>
              <w:t>Tukea voidaan myöntää seuraaviin yleishyödyllisten investointihankkeiden toteuttamisesta maaseutualueilla aiheutuviin kustannuksiin asetuksen 1305/2013 45 artiklan mukaisesti:</w:t>
            </w:r>
          </w:p>
          <w:p w:rsidR="00565F7A" w:rsidRPr="00FC302F" w:rsidRDefault="00565F7A" w:rsidP="00565F7A">
            <w:pPr>
              <w:pStyle w:val="Luettelokappale"/>
              <w:numPr>
                <w:ilvl w:val="0"/>
                <w:numId w:val="1"/>
              </w:numPr>
              <w:autoSpaceDE w:val="0"/>
              <w:autoSpaceDN w:val="0"/>
              <w:adjustRightInd w:val="0"/>
              <w:rPr>
                <w:rFonts w:asciiTheme="minorHAnsi" w:eastAsiaTheme="minorHAnsi" w:hAnsiTheme="minorHAnsi"/>
                <w:b w:val="0"/>
                <w:sz w:val="22"/>
              </w:rPr>
            </w:pPr>
            <w:r w:rsidRPr="00FC302F">
              <w:rPr>
                <w:rFonts w:asciiTheme="minorHAnsi" w:eastAsiaTheme="minorHAnsi" w:hAnsiTheme="minorHAnsi"/>
                <w:b w:val="0"/>
                <w:sz w:val="22"/>
              </w:rPr>
              <w:t>rakennuksen, rakennelman tai rakenteen suunnittelu-, rakentamis-, korjaamis-, laajentamis- ja hankkimiskustannuksiin, leasing-vuokraus mukaan luettuna; ml. laajakaistainfrastruktuurin rakentaminen, parantaminen ja laajentaminen, passiivisen laajakaistainfrastruktuurin sekä laajakaistan ja sähköisten ratkaisujen parantaminen;</w:t>
            </w:r>
          </w:p>
          <w:p w:rsidR="00565F7A" w:rsidRPr="00FC302F" w:rsidRDefault="00565F7A" w:rsidP="00565F7A">
            <w:pPr>
              <w:pStyle w:val="Luettelokappale"/>
              <w:numPr>
                <w:ilvl w:val="0"/>
                <w:numId w:val="1"/>
              </w:numPr>
              <w:autoSpaceDE w:val="0"/>
              <w:autoSpaceDN w:val="0"/>
              <w:adjustRightInd w:val="0"/>
              <w:rPr>
                <w:rFonts w:asciiTheme="minorHAnsi" w:eastAsiaTheme="minorHAnsi" w:hAnsiTheme="minorHAnsi"/>
                <w:b w:val="0"/>
                <w:sz w:val="22"/>
              </w:rPr>
            </w:pPr>
            <w:r w:rsidRPr="00FC302F">
              <w:rPr>
                <w:rFonts w:asciiTheme="minorHAnsi" w:eastAsiaTheme="minorHAnsi" w:hAnsiTheme="minorHAnsi"/>
                <w:b w:val="0"/>
                <w:sz w:val="22"/>
              </w:rPr>
              <w:t xml:space="preserve">koneiden, laitteiden ja välineiden hankkiminen tai </w:t>
            </w:r>
            <w:proofErr w:type="spellStart"/>
            <w:r w:rsidRPr="00FC302F">
              <w:rPr>
                <w:rFonts w:asciiTheme="minorHAnsi" w:eastAsiaTheme="minorHAnsi" w:hAnsiTheme="minorHAnsi"/>
                <w:b w:val="0"/>
                <w:sz w:val="22"/>
              </w:rPr>
              <w:t>ostoleasing</w:t>
            </w:r>
            <w:proofErr w:type="spellEnd"/>
            <w:r w:rsidRPr="00FC302F">
              <w:rPr>
                <w:rFonts w:asciiTheme="minorHAnsi" w:eastAsiaTheme="minorHAnsi" w:hAnsiTheme="minorHAnsi"/>
                <w:b w:val="0"/>
                <w:sz w:val="22"/>
              </w:rPr>
              <w:t xml:space="preserve"> enintään omaisuuden markkina-arvoon asti;</w:t>
            </w:r>
          </w:p>
          <w:p w:rsidR="00565F7A" w:rsidRPr="00FC302F" w:rsidRDefault="00565F7A" w:rsidP="00565F7A">
            <w:pPr>
              <w:pStyle w:val="Luettelokappale"/>
              <w:numPr>
                <w:ilvl w:val="0"/>
                <w:numId w:val="1"/>
              </w:numPr>
              <w:autoSpaceDE w:val="0"/>
              <w:autoSpaceDN w:val="0"/>
              <w:adjustRightInd w:val="0"/>
              <w:rPr>
                <w:rFonts w:asciiTheme="minorHAnsi" w:eastAsiaTheme="minorHAnsi" w:hAnsiTheme="minorHAnsi"/>
                <w:b w:val="0"/>
                <w:sz w:val="22"/>
              </w:rPr>
            </w:pPr>
            <w:r w:rsidRPr="00FC302F">
              <w:rPr>
                <w:rFonts w:asciiTheme="minorHAnsi" w:eastAsiaTheme="minorHAnsi" w:hAnsiTheme="minorHAnsi"/>
                <w:b w:val="0"/>
                <w:sz w:val="22"/>
              </w:rPr>
              <w:t>sellaisen kiinteistön tai sen osan hankinnasta aiheutuviin kustannuksiin, jossa hankittavalla alueella oleva rakennus muodostaa valtaosan kiinteistön arvosta ja on tarpeen tuettavassa toiminnassa;</w:t>
            </w:r>
          </w:p>
          <w:p w:rsidR="00565F7A" w:rsidRPr="00FC302F" w:rsidRDefault="00565F7A" w:rsidP="00565F7A">
            <w:pPr>
              <w:pStyle w:val="Luettelokappale"/>
              <w:numPr>
                <w:ilvl w:val="0"/>
                <w:numId w:val="1"/>
              </w:numPr>
              <w:autoSpaceDE w:val="0"/>
              <w:autoSpaceDN w:val="0"/>
              <w:adjustRightInd w:val="0"/>
              <w:rPr>
                <w:rFonts w:asciiTheme="minorHAnsi" w:eastAsiaTheme="minorHAnsi" w:hAnsiTheme="minorHAnsi"/>
                <w:b w:val="0"/>
                <w:sz w:val="22"/>
              </w:rPr>
            </w:pPr>
            <w:r w:rsidRPr="00FC302F">
              <w:rPr>
                <w:rFonts w:asciiTheme="minorHAnsi" w:eastAsiaTheme="minorHAnsi" w:hAnsiTheme="minorHAnsi"/>
                <w:b w:val="0"/>
                <w:sz w:val="22"/>
              </w:rPr>
              <w:t>hyväksyttäviin kustannuksiin liittyvät yleiskulut, kuten rakennussuunnittelijoiden ja konsulttien palkkiot, ekologista ja taloudellista kestävyyttä koskevaan neuvontaan liittyvät palkkiot, mukaan lukien toteutettavuustutkimukset, hankkeen toteutuksen aikaiset palo- ja talkoovakuutusmaksut, tarpeellisista luvista tai rekisteröintimaksuista aiheutuvat kustannukset;</w:t>
            </w:r>
          </w:p>
          <w:p w:rsidR="00565F7A" w:rsidRPr="00FC302F" w:rsidRDefault="00565F7A" w:rsidP="00565F7A">
            <w:pPr>
              <w:pStyle w:val="Luettelokappale"/>
              <w:numPr>
                <w:ilvl w:val="0"/>
                <w:numId w:val="1"/>
              </w:numPr>
              <w:autoSpaceDE w:val="0"/>
              <w:autoSpaceDN w:val="0"/>
              <w:adjustRightInd w:val="0"/>
              <w:rPr>
                <w:rFonts w:asciiTheme="minorHAnsi" w:eastAsiaTheme="minorHAnsi" w:hAnsiTheme="minorHAnsi"/>
                <w:b w:val="0"/>
                <w:sz w:val="22"/>
              </w:rPr>
            </w:pPr>
            <w:r w:rsidRPr="00FC302F">
              <w:rPr>
                <w:rFonts w:asciiTheme="minorHAnsi" w:eastAsiaTheme="minorHAnsi" w:hAnsiTheme="minorHAnsi"/>
                <w:b w:val="0"/>
                <w:sz w:val="22"/>
              </w:rPr>
              <w:lastRenderedPageBreak/>
              <w:t>seuraavat aineettomat investoinnit: tietokoneohjelmistojen hankkiminen tai kehittäminen ja patenttien, käyttölupien, tekijänoikeuksien ja tavaramerkkien hankkiminen;</w:t>
            </w:r>
          </w:p>
          <w:p w:rsidR="00565F7A" w:rsidRPr="00FC302F" w:rsidRDefault="00565F7A" w:rsidP="00565F7A">
            <w:pPr>
              <w:pStyle w:val="Luettelokappale"/>
              <w:numPr>
                <w:ilvl w:val="0"/>
                <w:numId w:val="1"/>
              </w:numPr>
              <w:autoSpaceDE w:val="0"/>
              <w:autoSpaceDN w:val="0"/>
              <w:adjustRightInd w:val="0"/>
              <w:rPr>
                <w:rFonts w:asciiTheme="minorHAnsi" w:eastAsiaTheme="minorHAnsi" w:hAnsiTheme="minorHAnsi"/>
                <w:b w:val="0"/>
                <w:sz w:val="22"/>
              </w:rPr>
            </w:pPr>
            <w:r w:rsidRPr="00FC302F">
              <w:rPr>
                <w:rFonts w:asciiTheme="minorHAnsi" w:eastAsiaTheme="minorHAnsi" w:hAnsiTheme="minorHAnsi"/>
                <w:b w:val="0"/>
                <w:sz w:val="22"/>
              </w:rPr>
              <w:t>tukea voidaan myöntää maan hankinnasta aiheutuviin kustannuksiin siltä osin kuin maan osuus ei ylitä kymmentä prosenttia koko hankkeen tukikelpoisista kustannuksista.</w:t>
            </w:r>
          </w:p>
          <w:p w:rsidR="00565F7A" w:rsidRPr="00FC302F" w:rsidRDefault="00565F7A" w:rsidP="00565F7A">
            <w:pPr>
              <w:pStyle w:val="Luettelokappale"/>
              <w:autoSpaceDE w:val="0"/>
              <w:autoSpaceDN w:val="0"/>
              <w:adjustRightInd w:val="0"/>
              <w:rPr>
                <w:rFonts w:asciiTheme="minorHAnsi" w:eastAsiaTheme="minorHAnsi" w:hAnsiTheme="minorHAnsi"/>
                <w:sz w:val="22"/>
              </w:rPr>
            </w:pPr>
          </w:p>
          <w:p w:rsidR="005E51C3" w:rsidRPr="00FC302F" w:rsidRDefault="005E51C3" w:rsidP="00744354">
            <w:pPr>
              <w:autoSpaceDE w:val="0"/>
              <w:autoSpaceDN w:val="0"/>
              <w:adjustRightInd w:val="0"/>
              <w:rPr>
                <w:rFonts w:asciiTheme="minorHAnsi" w:eastAsiaTheme="minorHAnsi" w:hAnsiTheme="minorHAnsi"/>
                <w:b w:val="0"/>
                <w:color w:val="1F497D" w:themeColor="text2"/>
                <w:sz w:val="22"/>
              </w:rPr>
            </w:pPr>
            <w:r w:rsidRPr="00FC302F">
              <w:rPr>
                <w:rFonts w:asciiTheme="minorHAnsi" w:eastAsiaTheme="minorHAnsi" w:hAnsiTheme="minorHAnsi"/>
                <w:b w:val="0"/>
                <w:color w:val="1F497D" w:themeColor="text2"/>
                <w:sz w:val="22"/>
              </w:rPr>
              <w:t xml:space="preserve">Tuki voidaan myöntää </w:t>
            </w:r>
            <w:r w:rsidR="008F5545" w:rsidRPr="00FC302F">
              <w:rPr>
                <w:rFonts w:asciiTheme="minorHAnsi" w:eastAsiaTheme="minorHAnsi" w:hAnsiTheme="minorHAnsi"/>
                <w:b w:val="0"/>
                <w:color w:val="1F497D" w:themeColor="text2"/>
                <w:sz w:val="22"/>
              </w:rPr>
              <w:t>v</w:t>
            </w:r>
            <w:r w:rsidR="00744354" w:rsidRPr="00FC302F">
              <w:rPr>
                <w:rFonts w:asciiTheme="minorHAnsi" w:eastAsiaTheme="minorHAnsi" w:hAnsiTheme="minorHAnsi"/>
                <w:b w:val="0"/>
                <w:color w:val="1F497D" w:themeColor="text2"/>
                <w:sz w:val="22"/>
              </w:rPr>
              <w:t>älillisten yleiskustannusten osalta prosenttimääräisenä</w:t>
            </w:r>
            <w:r w:rsidR="008F5545" w:rsidRPr="00FC302F">
              <w:rPr>
                <w:rFonts w:asciiTheme="minorHAnsi" w:eastAsiaTheme="minorHAnsi" w:hAnsiTheme="minorHAnsi"/>
                <w:b w:val="0"/>
                <w:color w:val="1F497D" w:themeColor="text2"/>
                <w:sz w:val="22"/>
              </w:rPr>
              <w:t xml:space="preserve"> </w:t>
            </w:r>
            <w:r w:rsidR="00744354" w:rsidRPr="00FC302F">
              <w:rPr>
                <w:rFonts w:asciiTheme="minorHAnsi" w:eastAsiaTheme="minorHAnsi" w:hAnsiTheme="minorHAnsi"/>
                <w:b w:val="0"/>
                <w:color w:val="1F497D" w:themeColor="text2"/>
                <w:sz w:val="22"/>
              </w:rPr>
              <w:t>korvauksena</w:t>
            </w:r>
            <w:r w:rsidRPr="00FC302F">
              <w:rPr>
                <w:rFonts w:asciiTheme="minorHAnsi" w:eastAsiaTheme="minorHAnsi" w:hAnsiTheme="minorHAnsi"/>
                <w:b w:val="0"/>
                <w:color w:val="1F497D" w:themeColor="text2"/>
                <w:sz w:val="22"/>
              </w:rPr>
              <w:t xml:space="preserve"> tai tositeperusteisesti.</w:t>
            </w:r>
          </w:p>
          <w:p w:rsidR="00D30DC1" w:rsidRPr="00FC302F" w:rsidRDefault="00D30DC1" w:rsidP="00316D01">
            <w:pPr>
              <w:rPr>
                <w:rFonts w:asciiTheme="minorHAnsi" w:hAnsiTheme="minorHAnsi" w:cs="Arial"/>
                <w:szCs w:val="24"/>
              </w:rPr>
            </w:pPr>
            <w:bookmarkStart w:id="0" w:name="_GoBack"/>
            <w:bookmarkEnd w:id="0"/>
          </w:p>
        </w:tc>
      </w:tr>
      <w:tr w:rsidR="00D30EBC" w:rsidRPr="00FC302F" w:rsidTr="000B7B43">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9989" w:type="dxa"/>
            <w:tcBorders>
              <w:left w:val="none" w:sz="0" w:space="0" w:color="auto"/>
              <w:right w:val="none" w:sz="0" w:space="0" w:color="auto"/>
            </w:tcBorders>
          </w:tcPr>
          <w:p w:rsidR="00F400AC" w:rsidRPr="00FC302F" w:rsidRDefault="00D30EBC" w:rsidP="00F400AC">
            <w:pPr>
              <w:spacing w:after="240"/>
              <w:rPr>
                <w:rFonts w:asciiTheme="minorHAnsi" w:hAnsiTheme="minorHAnsi" w:cs="Arial"/>
                <w:b w:val="0"/>
                <w:szCs w:val="24"/>
              </w:rPr>
            </w:pPr>
            <w:r w:rsidRPr="00FC302F">
              <w:rPr>
                <w:rFonts w:asciiTheme="minorHAnsi" w:hAnsiTheme="minorHAnsi" w:cs="Arial"/>
                <w:szCs w:val="24"/>
              </w:rPr>
              <w:lastRenderedPageBreak/>
              <w:t>Kenelle</w:t>
            </w:r>
            <w:r w:rsidRPr="00FC302F">
              <w:rPr>
                <w:rFonts w:asciiTheme="minorHAnsi" w:hAnsiTheme="minorHAnsi" w:cs="Arial"/>
                <w:b w:val="0"/>
                <w:szCs w:val="24"/>
              </w:rPr>
              <w:t xml:space="preserve">: </w:t>
            </w:r>
          </w:p>
          <w:p w:rsidR="00F400AC" w:rsidRPr="00FC302F" w:rsidRDefault="00F400AC" w:rsidP="00F400AC">
            <w:pPr>
              <w:spacing w:after="240"/>
              <w:rPr>
                <w:rFonts w:asciiTheme="minorHAnsi" w:hAnsiTheme="minorHAnsi"/>
                <w:b w:val="0"/>
                <w:sz w:val="22"/>
                <w:lang w:eastAsia="fi-FI"/>
              </w:rPr>
            </w:pPr>
            <w:r w:rsidRPr="00FC302F">
              <w:rPr>
                <w:rFonts w:asciiTheme="minorHAnsi" w:hAnsiTheme="minorHAnsi"/>
                <w:b w:val="0"/>
                <w:sz w:val="22"/>
                <w:lang w:eastAsia="fi-FI"/>
              </w:rPr>
              <w:t>Tuensaajina voivat olla julkisoikeudelliset yhteisöt ja yksityisoikeudelliset yhteisöt silloin, kun yksityisoikeudellisen yhteisön pääasiallinen tarkoitus on muu kuin taloudellinen toiminta tai jonka toiminnan ensisijainen päämäärä ei ole voiton tavoittelu. Tuensaajina voivat olla mm. kunnat, yhdistykset, järjestöt ja osuuskunnat.</w:t>
            </w:r>
          </w:p>
          <w:p w:rsidR="00D30EBC" w:rsidRPr="00FC302F" w:rsidRDefault="00D30EBC" w:rsidP="00F400AC">
            <w:pPr>
              <w:rPr>
                <w:rFonts w:asciiTheme="minorHAnsi" w:hAnsiTheme="minorHAnsi" w:cs="Arial"/>
                <w:szCs w:val="24"/>
              </w:rPr>
            </w:pPr>
          </w:p>
        </w:tc>
      </w:tr>
      <w:tr w:rsidR="00D30EBC" w:rsidRPr="00FC302F" w:rsidTr="000B7B43">
        <w:trPr>
          <w:trHeight w:val="745"/>
        </w:trPr>
        <w:tc>
          <w:tcPr>
            <w:cnfStyle w:val="001000000000" w:firstRow="0" w:lastRow="0" w:firstColumn="1" w:lastColumn="0" w:oddVBand="0" w:evenVBand="0" w:oddHBand="0" w:evenHBand="0" w:firstRowFirstColumn="0" w:firstRowLastColumn="0" w:lastRowFirstColumn="0" w:lastRowLastColumn="0"/>
            <w:tcW w:w="9989" w:type="dxa"/>
          </w:tcPr>
          <w:p w:rsidR="00B10AFE" w:rsidRPr="00FC302F" w:rsidRDefault="00B10AFE" w:rsidP="00B10AFE">
            <w:pPr>
              <w:rPr>
                <w:rFonts w:asciiTheme="minorHAnsi" w:hAnsiTheme="minorHAnsi" w:cs="Arial"/>
                <w:b w:val="0"/>
                <w:szCs w:val="24"/>
              </w:rPr>
            </w:pPr>
          </w:p>
          <w:p w:rsidR="00104B4D" w:rsidRPr="00FC302F" w:rsidRDefault="00104B4D" w:rsidP="00104B4D">
            <w:pPr>
              <w:autoSpaceDE w:val="0"/>
              <w:autoSpaceDN w:val="0"/>
              <w:adjustRightInd w:val="0"/>
              <w:rPr>
                <w:rFonts w:asciiTheme="minorHAnsi" w:hAnsiTheme="minorHAnsi" w:cs="Arial"/>
                <w:szCs w:val="24"/>
              </w:rPr>
            </w:pPr>
            <w:r w:rsidRPr="00FC302F">
              <w:rPr>
                <w:rFonts w:asciiTheme="minorHAnsi" w:hAnsiTheme="minorHAnsi" w:cs="Arial"/>
                <w:szCs w:val="24"/>
              </w:rPr>
              <w:t>Tukitaso</w:t>
            </w:r>
            <w:r w:rsidR="00B10AFE" w:rsidRPr="00FC302F">
              <w:rPr>
                <w:rFonts w:asciiTheme="minorHAnsi" w:hAnsiTheme="minorHAnsi" w:cs="Arial"/>
                <w:szCs w:val="24"/>
              </w:rPr>
              <w:t xml:space="preserve">: </w:t>
            </w:r>
          </w:p>
          <w:p w:rsidR="00104B4D" w:rsidRPr="00FC302F" w:rsidRDefault="00104B4D" w:rsidP="00104B4D">
            <w:pPr>
              <w:autoSpaceDE w:val="0"/>
              <w:autoSpaceDN w:val="0"/>
              <w:adjustRightInd w:val="0"/>
              <w:rPr>
                <w:rFonts w:asciiTheme="minorHAnsi" w:hAnsiTheme="minorHAnsi" w:cs="Arial"/>
                <w:szCs w:val="24"/>
              </w:rPr>
            </w:pPr>
          </w:p>
          <w:p w:rsidR="00EB5515" w:rsidRPr="00FC302F" w:rsidRDefault="00EB5515" w:rsidP="00104B4D">
            <w:pPr>
              <w:autoSpaceDE w:val="0"/>
              <w:autoSpaceDN w:val="0"/>
              <w:adjustRightInd w:val="0"/>
              <w:rPr>
                <w:rFonts w:asciiTheme="minorHAnsi" w:hAnsiTheme="minorHAnsi" w:cs="Arial"/>
                <w:b w:val="0"/>
                <w:color w:val="1F497D" w:themeColor="text2"/>
                <w:sz w:val="22"/>
              </w:rPr>
            </w:pPr>
            <w:r w:rsidRPr="00FC302F">
              <w:rPr>
                <w:rFonts w:asciiTheme="minorHAnsi" w:eastAsiaTheme="minorHAnsi" w:hAnsiTheme="minorHAnsi"/>
                <w:b w:val="0"/>
                <w:color w:val="1F497D" w:themeColor="text2"/>
                <w:sz w:val="22"/>
              </w:rPr>
              <w:t>Yleishyödyllisen kehittämishankkeen julkisen tuen osuus on enintään 100 % hyväksyttävistä kustannuksista.</w:t>
            </w:r>
          </w:p>
          <w:p w:rsidR="00EB5515" w:rsidRPr="00FC302F" w:rsidRDefault="00EB5515" w:rsidP="00104B4D">
            <w:pPr>
              <w:autoSpaceDE w:val="0"/>
              <w:autoSpaceDN w:val="0"/>
              <w:adjustRightInd w:val="0"/>
              <w:rPr>
                <w:rFonts w:asciiTheme="minorHAnsi" w:hAnsiTheme="minorHAnsi" w:cs="Arial"/>
                <w:sz w:val="22"/>
              </w:rPr>
            </w:pPr>
          </w:p>
          <w:p w:rsidR="00104B4D" w:rsidRPr="00FC302F" w:rsidRDefault="00104B4D" w:rsidP="00104B4D">
            <w:pPr>
              <w:autoSpaceDE w:val="0"/>
              <w:autoSpaceDN w:val="0"/>
              <w:adjustRightInd w:val="0"/>
              <w:rPr>
                <w:rFonts w:asciiTheme="minorHAnsi" w:eastAsiaTheme="minorHAnsi" w:hAnsiTheme="minorHAnsi"/>
                <w:b w:val="0"/>
                <w:color w:val="1F497D" w:themeColor="text2"/>
                <w:sz w:val="22"/>
              </w:rPr>
            </w:pPr>
            <w:r w:rsidRPr="00FC302F">
              <w:rPr>
                <w:rFonts w:asciiTheme="minorHAnsi" w:eastAsiaTheme="minorHAnsi" w:hAnsiTheme="minorHAnsi"/>
                <w:b w:val="0"/>
                <w:color w:val="1F497D" w:themeColor="text2"/>
                <w:sz w:val="22"/>
              </w:rPr>
              <w:t>Yleishyödyllisen investoinnin julkisen tuen osuus on</w:t>
            </w:r>
            <w:r w:rsidR="00EB5515" w:rsidRPr="00FC302F">
              <w:rPr>
                <w:rFonts w:asciiTheme="minorHAnsi" w:eastAsiaTheme="minorHAnsi" w:hAnsiTheme="minorHAnsi"/>
                <w:b w:val="0"/>
                <w:color w:val="1F497D" w:themeColor="text2"/>
                <w:sz w:val="22"/>
              </w:rPr>
              <w:t xml:space="preserve"> enintään</w:t>
            </w:r>
            <w:r w:rsidRPr="00FC302F">
              <w:rPr>
                <w:rFonts w:asciiTheme="minorHAnsi" w:eastAsiaTheme="minorHAnsi" w:hAnsiTheme="minorHAnsi"/>
                <w:b w:val="0"/>
                <w:color w:val="1F497D" w:themeColor="text2"/>
                <w:sz w:val="22"/>
              </w:rPr>
              <w:t xml:space="preserve"> 75 % hyväksyttävistä kustannuksista.</w:t>
            </w:r>
          </w:p>
          <w:p w:rsidR="00104B4D" w:rsidRPr="00FC302F" w:rsidRDefault="00104B4D" w:rsidP="00104B4D">
            <w:pPr>
              <w:autoSpaceDE w:val="0"/>
              <w:autoSpaceDN w:val="0"/>
              <w:adjustRightInd w:val="0"/>
              <w:rPr>
                <w:rFonts w:asciiTheme="minorHAnsi" w:eastAsiaTheme="minorHAnsi" w:hAnsiTheme="minorHAnsi"/>
                <w:b w:val="0"/>
                <w:color w:val="1F497D" w:themeColor="text2"/>
                <w:sz w:val="22"/>
              </w:rPr>
            </w:pPr>
          </w:p>
          <w:p w:rsidR="00D30EBC" w:rsidRPr="00FC302F" w:rsidRDefault="00104B4D" w:rsidP="00744354">
            <w:pPr>
              <w:autoSpaceDE w:val="0"/>
              <w:autoSpaceDN w:val="0"/>
              <w:adjustRightInd w:val="0"/>
              <w:rPr>
                <w:rFonts w:asciiTheme="minorHAnsi" w:eastAsiaTheme="minorHAnsi" w:hAnsiTheme="minorHAnsi"/>
                <w:b w:val="0"/>
                <w:color w:val="1F497D" w:themeColor="text2"/>
                <w:sz w:val="22"/>
              </w:rPr>
            </w:pPr>
            <w:r w:rsidRPr="00FC302F">
              <w:rPr>
                <w:rFonts w:asciiTheme="minorHAnsi" w:eastAsiaTheme="minorHAnsi" w:hAnsiTheme="minorHAnsi"/>
                <w:b w:val="0"/>
                <w:color w:val="1F497D" w:themeColor="text2"/>
                <w:sz w:val="22"/>
              </w:rPr>
              <w:t>Kun tuensaajana on kuntajulkisoikeudellinen yhteisö, julkisen rahoituksen osuus on 100 % julkisoikeudellisen yhteisön oma rahoitus mukaan luettuna.</w:t>
            </w:r>
          </w:p>
          <w:p w:rsidR="00744354" w:rsidRPr="00FC302F" w:rsidRDefault="00744354" w:rsidP="00744354">
            <w:pPr>
              <w:autoSpaceDE w:val="0"/>
              <w:autoSpaceDN w:val="0"/>
              <w:adjustRightInd w:val="0"/>
              <w:rPr>
                <w:rFonts w:asciiTheme="minorHAnsi" w:hAnsiTheme="minorHAnsi" w:cs="Arial"/>
                <w:szCs w:val="24"/>
              </w:rPr>
            </w:pPr>
          </w:p>
        </w:tc>
      </w:tr>
      <w:tr w:rsidR="00D30EBC" w:rsidRPr="00FC302F" w:rsidTr="000B7B43">
        <w:trPr>
          <w:cnfStyle w:val="000000100000" w:firstRow="0" w:lastRow="0" w:firstColumn="0" w:lastColumn="0" w:oddVBand="0" w:evenVBand="0" w:oddHBand="1" w:evenHBand="0" w:firstRowFirstColumn="0" w:firstRowLastColumn="0" w:lastRowFirstColumn="0" w:lastRowLastColumn="0"/>
          <w:trHeight w:val="1228"/>
        </w:trPr>
        <w:tc>
          <w:tcPr>
            <w:cnfStyle w:val="001000000000" w:firstRow="0" w:lastRow="0" w:firstColumn="1" w:lastColumn="0" w:oddVBand="0" w:evenVBand="0" w:oddHBand="0" w:evenHBand="0" w:firstRowFirstColumn="0" w:firstRowLastColumn="0" w:lastRowFirstColumn="0" w:lastRowLastColumn="0"/>
            <w:tcW w:w="9989" w:type="dxa"/>
            <w:tcBorders>
              <w:left w:val="none" w:sz="0" w:space="0" w:color="auto"/>
              <w:right w:val="none" w:sz="0" w:space="0" w:color="auto"/>
            </w:tcBorders>
          </w:tcPr>
          <w:p w:rsidR="00B10AFE" w:rsidRPr="00FC302F" w:rsidRDefault="00B10AFE" w:rsidP="00B10AFE">
            <w:pPr>
              <w:rPr>
                <w:rFonts w:asciiTheme="minorHAnsi" w:hAnsiTheme="minorHAnsi" w:cs="Arial"/>
                <w:b w:val="0"/>
                <w:szCs w:val="24"/>
              </w:rPr>
            </w:pPr>
          </w:p>
          <w:p w:rsidR="00DA4E27" w:rsidRPr="00FC302F" w:rsidRDefault="00B10AFE" w:rsidP="00ED7819">
            <w:pPr>
              <w:rPr>
                <w:rFonts w:asciiTheme="minorHAnsi" w:hAnsiTheme="minorHAnsi" w:cs="Arial"/>
                <w:b w:val="0"/>
                <w:szCs w:val="24"/>
              </w:rPr>
            </w:pPr>
            <w:r w:rsidRPr="00FC302F">
              <w:rPr>
                <w:rFonts w:asciiTheme="minorHAnsi" w:hAnsiTheme="minorHAnsi" w:cs="Arial"/>
                <w:szCs w:val="24"/>
              </w:rPr>
              <w:t xml:space="preserve">Ehdot ja kriteerit: </w:t>
            </w:r>
          </w:p>
          <w:p w:rsidR="000207FD" w:rsidRPr="00FC302F" w:rsidRDefault="000207FD" w:rsidP="007D3870">
            <w:pPr>
              <w:rPr>
                <w:rFonts w:asciiTheme="minorHAnsi" w:hAnsiTheme="minorHAnsi"/>
                <w:b w:val="0"/>
                <w:szCs w:val="24"/>
              </w:rPr>
            </w:pPr>
          </w:p>
          <w:p w:rsidR="00DE6272" w:rsidRPr="00FC302F" w:rsidRDefault="00DE6272" w:rsidP="00DE6272">
            <w:pPr>
              <w:pStyle w:val="py"/>
              <w:rPr>
                <w:rFonts w:asciiTheme="minorHAnsi" w:hAnsiTheme="minorHAnsi"/>
                <w:b w:val="0"/>
                <w:sz w:val="22"/>
                <w:szCs w:val="22"/>
              </w:rPr>
            </w:pPr>
            <w:r w:rsidRPr="00FC302F">
              <w:rPr>
                <w:rFonts w:asciiTheme="minorHAnsi" w:hAnsiTheme="minorHAnsi"/>
                <w:b w:val="0"/>
                <w:sz w:val="22"/>
                <w:szCs w:val="22"/>
              </w:rPr>
              <w:t>Yleishyödylliseen kehittämishankkeeseen voidaan myöntää tukea, jos se ei muodostu valtiontueksi. Edellytyksenä on lisäksi, että ohjelman mukainen toiminta on sellaista, ettei siitä saatava hyöty rajoitu alueellisesti tai hyötyjien perusteella yhteen tai harvaan ennalta tiedossa olevaan ryhmään.</w:t>
            </w:r>
          </w:p>
          <w:p w:rsidR="00DE6272" w:rsidRPr="00FC302F" w:rsidRDefault="00DE6272" w:rsidP="00DE6272">
            <w:pPr>
              <w:pStyle w:val="py"/>
              <w:rPr>
                <w:rFonts w:asciiTheme="minorHAnsi" w:hAnsiTheme="minorHAnsi"/>
                <w:b w:val="0"/>
                <w:sz w:val="22"/>
                <w:szCs w:val="22"/>
              </w:rPr>
            </w:pPr>
            <w:r w:rsidRPr="00FC302F">
              <w:rPr>
                <w:rFonts w:asciiTheme="minorHAnsi" w:hAnsiTheme="minorHAnsi"/>
                <w:b w:val="0"/>
                <w:sz w:val="22"/>
                <w:szCs w:val="22"/>
              </w:rPr>
              <w:t>Jos yleishyödyllisen kehittämishankkeen lopputulos on sellainen, että siihen syntyy tekijänoikeus tai se täyttää patentin tai muun aineettoman oikeuden suojan saamisen edellytykset, tuen myöntämisen edellytyksenä on, ettei aineetonta oikeutta suojata eikä tekijänoikeutta tai muuta aineetonta oikeutta siirretä tuen saajalta yrityksen tai yritysten yksin tai pääasiassa hyödynnettäväksi.</w:t>
            </w:r>
          </w:p>
          <w:p w:rsidR="00DE6272" w:rsidRPr="00FC302F" w:rsidRDefault="00DE6272" w:rsidP="00DE6272">
            <w:pPr>
              <w:pStyle w:val="py"/>
              <w:rPr>
                <w:rFonts w:asciiTheme="minorHAnsi" w:hAnsiTheme="minorHAnsi"/>
                <w:b w:val="0"/>
                <w:sz w:val="22"/>
                <w:szCs w:val="22"/>
              </w:rPr>
            </w:pPr>
            <w:r w:rsidRPr="00FC302F">
              <w:rPr>
                <w:rFonts w:asciiTheme="minorHAnsi" w:hAnsiTheme="minorHAnsi"/>
                <w:b w:val="0"/>
                <w:sz w:val="22"/>
                <w:szCs w:val="22"/>
              </w:rPr>
              <w:t>Yleishyödyllisen kehittämishankkeen pääasiallisena tavoitteena ei saa olla tavanomaisten yrityksen kehittämiseen tai tuotekehitykseen liittyvien kustannusten poistaminen, eikä tuen avulla tule kehittää hyödykettä tai palvelua, joka on välittömästi tai vähäisin lisätoimin yrityksen tai tietyn yritysryhmän hyödynnettävissä korvauksetta tai käypää korvausta alemmalla hinnalla.</w:t>
            </w:r>
          </w:p>
          <w:p w:rsidR="00DE6272" w:rsidRPr="00FC302F" w:rsidRDefault="00DE6272" w:rsidP="00DE6272">
            <w:pPr>
              <w:pStyle w:val="py"/>
              <w:rPr>
                <w:rFonts w:asciiTheme="minorHAnsi" w:hAnsiTheme="minorHAnsi"/>
                <w:b w:val="0"/>
                <w:sz w:val="22"/>
                <w:szCs w:val="22"/>
              </w:rPr>
            </w:pPr>
            <w:r w:rsidRPr="00FC302F">
              <w:rPr>
                <w:rFonts w:asciiTheme="minorHAnsi" w:hAnsiTheme="minorHAnsi"/>
                <w:b w:val="0"/>
                <w:sz w:val="22"/>
                <w:szCs w:val="22"/>
              </w:rPr>
              <w:t>Tukea ei myönnetä sellaiseen toimintaan, joka kuuluu julkisoikeudellisen yhteisön lakisääteisen pakollisen perustehtävän hoitamiseen. Sellaiseen julkisoikeudellisen yhteisön harkinnanvaraiseen toimintaan, jonka perusteista säädetään lailla, voidaan myöntää tukea vain erittäin perustellusta syystä.</w:t>
            </w:r>
          </w:p>
          <w:p w:rsidR="00DE6272" w:rsidRPr="00FC302F" w:rsidRDefault="00DE6272" w:rsidP="007D3870">
            <w:pPr>
              <w:rPr>
                <w:rFonts w:asciiTheme="minorHAnsi" w:hAnsiTheme="minorHAnsi"/>
                <w:b w:val="0"/>
                <w:szCs w:val="24"/>
              </w:rPr>
            </w:pPr>
          </w:p>
          <w:p w:rsidR="007D3870" w:rsidRPr="00FC302F" w:rsidRDefault="007D3870" w:rsidP="007D3870">
            <w:pPr>
              <w:rPr>
                <w:rFonts w:asciiTheme="minorHAnsi" w:hAnsiTheme="minorHAnsi" w:cs="Arial"/>
                <w:szCs w:val="24"/>
              </w:rPr>
            </w:pPr>
          </w:p>
        </w:tc>
      </w:tr>
      <w:tr w:rsidR="00D30EBC" w:rsidRPr="00FC302F" w:rsidTr="000B7B43">
        <w:trPr>
          <w:trHeight w:val="1963"/>
        </w:trPr>
        <w:tc>
          <w:tcPr>
            <w:cnfStyle w:val="001000000000" w:firstRow="0" w:lastRow="0" w:firstColumn="1" w:lastColumn="0" w:oddVBand="0" w:evenVBand="0" w:oddHBand="0" w:evenHBand="0" w:firstRowFirstColumn="0" w:firstRowLastColumn="0" w:lastRowFirstColumn="0" w:lastRowLastColumn="0"/>
            <w:tcW w:w="9989" w:type="dxa"/>
          </w:tcPr>
          <w:p w:rsidR="00DA4E27" w:rsidRPr="00FC302F" w:rsidRDefault="00D30EBC" w:rsidP="00D30DC1">
            <w:pPr>
              <w:rPr>
                <w:rFonts w:asciiTheme="minorHAnsi" w:hAnsiTheme="minorHAnsi" w:cs="Arial"/>
                <w:szCs w:val="24"/>
              </w:rPr>
            </w:pPr>
            <w:r w:rsidRPr="00FC302F">
              <w:rPr>
                <w:rFonts w:asciiTheme="minorHAnsi" w:hAnsiTheme="minorHAnsi" w:cs="Arial"/>
                <w:szCs w:val="24"/>
              </w:rPr>
              <w:lastRenderedPageBreak/>
              <w:t xml:space="preserve">Toimi näin: </w:t>
            </w:r>
          </w:p>
          <w:p w:rsidR="005F6CC0" w:rsidRPr="00FC302F" w:rsidRDefault="005F6CC0" w:rsidP="00E074E0">
            <w:pPr>
              <w:spacing w:after="200" w:line="276" w:lineRule="auto"/>
              <w:rPr>
                <w:rFonts w:asciiTheme="minorHAnsi" w:hAnsiTheme="minorHAnsi"/>
                <w:b w:val="0"/>
                <w:bCs w:val="0"/>
                <w:color w:val="auto"/>
                <w:sz w:val="22"/>
              </w:rPr>
            </w:pPr>
          </w:p>
          <w:p w:rsidR="00E074E0" w:rsidRPr="00FC302F" w:rsidRDefault="005F6CC0" w:rsidP="00E074E0">
            <w:pPr>
              <w:spacing w:after="200" w:line="276" w:lineRule="auto"/>
              <w:rPr>
                <w:rFonts w:asciiTheme="minorHAnsi" w:hAnsiTheme="minorHAnsi"/>
                <w:b w:val="0"/>
                <w:bCs w:val="0"/>
                <w:color w:val="auto"/>
                <w:sz w:val="22"/>
              </w:rPr>
            </w:pPr>
            <w:r w:rsidRPr="00FC302F">
              <w:rPr>
                <w:rFonts w:asciiTheme="minorHAnsi" w:hAnsiTheme="minorHAnsi"/>
                <w:b w:val="0"/>
                <w:bCs w:val="0"/>
                <w:color w:val="auto"/>
                <w:sz w:val="22"/>
              </w:rPr>
              <w:t>V</w:t>
            </w:r>
            <w:r w:rsidR="00E074E0" w:rsidRPr="00FC302F">
              <w:rPr>
                <w:rFonts w:asciiTheme="minorHAnsi" w:hAnsiTheme="minorHAnsi"/>
                <w:b w:val="0"/>
                <w:bCs w:val="0"/>
                <w:color w:val="auto"/>
                <w:sz w:val="22"/>
              </w:rPr>
              <w:t xml:space="preserve">oit hakea tukea alueesi </w:t>
            </w:r>
            <w:proofErr w:type="spellStart"/>
            <w:r w:rsidR="00E074E0" w:rsidRPr="00FC302F">
              <w:rPr>
                <w:rFonts w:asciiTheme="minorHAnsi" w:hAnsiTheme="minorHAnsi"/>
                <w:b w:val="0"/>
                <w:bCs w:val="0"/>
                <w:color w:val="auto"/>
                <w:sz w:val="22"/>
              </w:rPr>
              <w:t>ELY-keskuksesta</w:t>
            </w:r>
            <w:proofErr w:type="spellEnd"/>
            <w:r w:rsidR="00E074E0" w:rsidRPr="00FC302F">
              <w:rPr>
                <w:rFonts w:asciiTheme="minorHAnsi" w:hAnsiTheme="minorHAnsi"/>
                <w:b w:val="0"/>
                <w:bCs w:val="0"/>
                <w:color w:val="auto"/>
                <w:sz w:val="22"/>
              </w:rPr>
              <w:t xml:space="preserve"> tai </w:t>
            </w:r>
            <w:proofErr w:type="spellStart"/>
            <w:r w:rsidR="00E074E0" w:rsidRPr="00FC302F">
              <w:rPr>
                <w:rFonts w:asciiTheme="minorHAnsi" w:hAnsiTheme="minorHAnsi"/>
                <w:b w:val="0"/>
                <w:bCs w:val="0"/>
                <w:color w:val="auto"/>
                <w:sz w:val="22"/>
              </w:rPr>
              <w:t>Leader-ryhmästä</w:t>
            </w:r>
            <w:proofErr w:type="spellEnd"/>
            <w:r w:rsidR="00E074E0" w:rsidRPr="00FC302F">
              <w:rPr>
                <w:rFonts w:asciiTheme="minorHAnsi" w:hAnsiTheme="minorHAnsi"/>
                <w:b w:val="0"/>
                <w:bCs w:val="0"/>
                <w:color w:val="auto"/>
                <w:sz w:val="22"/>
              </w:rPr>
              <w:t xml:space="preserve">. </w:t>
            </w:r>
          </w:p>
          <w:p w:rsidR="00E074E0" w:rsidRPr="00FC302F" w:rsidRDefault="00E074E0" w:rsidP="00E074E0">
            <w:pPr>
              <w:rPr>
                <w:rFonts w:asciiTheme="minorHAnsi" w:hAnsiTheme="minorHAnsi" w:cs="Arial"/>
                <w:b w:val="0"/>
                <w:sz w:val="22"/>
              </w:rPr>
            </w:pPr>
            <w:r w:rsidRPr="00FC302F">
              <w:rPr>
                <w:rFonts w:asciiTheme="minorHAnsi" w:hAnsiTheme="minorHAnsi"/>
                <w:b w:val="0"/>
                <w:bCs w:val="0"/>
                <w:color w:val="auto"/>
                <w:sz w:val="22"/>
              </w:rPr>
              <w:t xml:space="preserve">Yhteystiedot löydät täältä: </w:t>
            </w:r>
            <w:hyperlink r:id="rId7" w:history="1">
              <w:r w:rsidRPr="00FC302F">
                <w:rPr>
                  <w:rFonts w:asciiTheme="minorHAnsi" w:hAnsiTheme="minorHAnsi"/>
                  <w:b w:val="0"/>
                  <w:bCs w:val="0"/>
                  <w:color w:val="0000FF" w:themeColor="hyperlink"/>
                  <w:sz w:val="22"/>
                  <w:u w:val="single"/>
                </w:rPr>
                <w:t>http://www.mavi.fi/fi/tietoa-meista/Sivut/kumppanihaku.aspx</w:t>
              </w:r>
            </w:hyperlink>
          </w:p>
          <w:p w:rsidR="00DA4E27" w:rsidRPr="00FC302F" w:rsidRDefault="00DA4E27" w:rsidP="00D30DC1">
            <w:pPr>
              <w:rPr>
                <w:rFonts w:asciiTheme="minorHAnsi" w:hAnsiTheme="minorHAnsi" w:cs="Arial"/>
                <w:b w:val="0"/>
                <w:szCs w:val="24"/>
              </w:rPr>
            </w:pPr>
          </w:p>
        </w:tc>
      </w:tr>
      <w:tr w:rsidR="00D30EBC" w:rsidRPr="00FC302F" w:rsidTr="000B7B43">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9989" w:type="dxa"/>
            <w:tcBorders>
              <w:left w:val="none" w:sz="0" w:space="0" w:color="auto"/>
              <w:right w:val="none" w:sz="0" w:space="0" w:color="auto"/>
            </w:tcBorders>
          </w:tcPr>
          <w:p w:rsidR="00D30EBC" w:rsidRPr="00FC302F" w:rsidRDefault="00D30EBC" w:rsidP="003717F5">
            <w:pPr>
              <w:rPr>
                <w:rFonts w:asciiTheme="minorHAnsi" w:hAnsiTheme="minorHAnsi" w:cs="Arial"/>
                <w:b w:val="0"/>
                <w:szCs w:val="24"/>
              </w:rPr>
            </w:pPr>
            <w:r w:rsidRPr="00FC302F">
              <w:rPr>
                <w:rFonts w:asciiTheme="minorHAnsi" w:hAnsiTheme="minorHAnsi" w:cs="Arial"/>
                <w:szCs w:val="24"/>
              </w:rPr>
              <w:t>Sähköinen hakulomake tai asiointipalvelu:</w:t>
            </w:r>
            <w:r w:rsidR="00D30DC1" w:rsidRPr="00FC302F">
              <w:rPr>
                <w:rFonts w:asciiTheme="minorHAnsi" w:hAnsiTheme="minorHAnsi" w:cs="Arial"/>
                <w:szCs w:val="24"/>
              </w:rPr>
              <w:t xml:space="preserve"> </w:t>
            </w:r>
          </w:p>
          <w:p w:rsidR="003717F5" w:rsidRPr="00FC302F" w:rsidRDefault="003717F5" w:rsidP="003717F5">
            <w:pPr>
              <w:rPr>
                <w:rFonts w:asciiTheme="minorHAnsi" w:hAnsiTheme="minorHAnsi"/>
                <w:szCs w:val="24"/>
              </w:rPr>
            </w:pPr>
          </w:p>
          <w:p w:rsidR="003717F5" w:rsidRPr="00FC302F" w:rsidRDefault="00FC302F" w:rsidP="003717F5">
            <w:pPr>
              <w:rPr>
                <w:rFonts w:asciiTheme="minorHAnsi" w:hAnsiTheme="minorHAnsi" w:cs="Arial"/>
                <w:b w:val="0"/>
                <w:szCs w:val="24"/>
              </w:rPr>
            </w:pPr>
            <w:hyperlink r:id="rId8" w:history="1">
              <w:r w:rsidR="003717F5" w:rsidRPr="00FC302F">
                <w:rPr>
                  <w:rStyle w:val="Hyperlinkki"/>
                  <w:rFonts w:asciiTheme="minorHAnsi" w:hAnsiTheme="minorHAnsi" w:cs="Arial"/>
                  <w:b w:val="0"/>
                  <w:szCs w:val="24"/>
                </w:rPr>
                <w:t>http://hyrra.mavi.fi/login.html</w:t>
              </w:r>
            </w:hyperlink>
          </w:p>
        </w:tc>
      </w:tr>
      <w:tr w:rsidR="00D30EBC" w:rsidRPr="00FC302F" w:rsidTr="000B7B43">
        <w:trPr>
          <w:trHeight w:val="1721"/>
        </w:trPr>
        <w:tc>
          <w:tcPr>
            <w:cnfStyle w:val="001000000000" w:firstRow="0" w:lastRow="0" w:firstColumn="1" w:lastColumn="0" w:oddVBand="0" w:evenVBand="0" w:oddHBand="0" w:evenHBand="0" w:firstRowFirstColumn="0" w:firstRowLastColumn="0" w:lastRowFirstColumn="0" w:lastRowLastColumn="0"/>
            <w:tcW w:w="9989" w:type="dxa"/>
            <w:tcBorders>
              <w:bottom w:val="single" w:sz="4" w:space="0" w:color="auto"/>
            </w:tcBorders>
          </w:tcPr>
          <w:p w:rsidR="00D30EBC" w:rsidRPr="00FC302F" w:rsidRDefault="00D30EBC" w:rsidP="00082C20">
            <w:pPr>
              <w:rPr>
                <w:rFonts w:asciiTheme="minorHAnsi" w:hAnsiTheme="minorHAnsi" w:cs="Arial"/>
                <w:szCs w:val="24"/>
              </w:rPr>
            </w:pPr>
            <w:r w:rsidRPr="00FC302F">
              <w:rPr>
                <w:rFonts w:asciiTheme="minorHAnsi" w:hAnsiTheme="minorHAnsi" w:cs="Arial"/>
                <w:szCs w:val="24"/>
              </w:rPr>
              <w:t>Katso myös:</w:t>
            </w:r>
          </w:p>
          <w:p w:rsidR="00082C20" w:rsidRPr="00FC302F" w:rsidRDefault="00082C20" w:rsidP="00082C20">
            <w:pPr>
              <w:rPr>
                <w:rFonts w:asciiTheme="minorHAnsi" w:hAnsiTheme="minorHAnsi" w:cs="Arial"/>
                <w:szCs w:val="24"/>
              </w:rPr>
            </w:pPr>
          </w:p>
          <w:p w:rsidR="00082C20" w:rsidRPr="00FC302F" w:rsidRDefault="00082C20" w:rsidP="00082C20">
            <w:pPr>
              <w:spacing w:after="200" w:line="276" w:lineRule="auto"/>
              <w:rPr>
                <w:rFonts w:asciiTheme="minorHAnsi" w:hAnsiTheme="minorHAnsi" w:cs="Arial"/>
                <w:b w:val="0"/>
                <w:bCs w:val="0"/>
                <w:color w:val="auto"/>
                <w:sz w:val="22"/>
              </w:rPr>
            </w:pPr>
            <w:r w:rsidRPr="00FC302F">
              <w:rPr>
                <w:rFonts w:asciiTheme="minorHAnsi" w:hAnsiTheme="minorHAnsi" w:cs="Arial"/>
                <w:b w:val="0"/>
                <w:bCs w:val="0"/>
                <w:color w:val="auto"/>
                <w:sz w:val="22"/>
              </w:rPr>
              <w:t xml:space="preserve">Laki maaseudun kehittämisen tukemisesta: </w:t>
            </w:r>
          </w:p>
          <w:p w:rsidR="00082C20" w:rsidRPr="00FC302F" w:rsidRDefault="00FC302F" w:rsidP="00082C20">
            <w:pPr>
              <w:spacing w:after="200" w:line="276" w:lineRule="auto"/>
              <w:rPr>
                <w:rFonts w:asciiTheme="minorHAnsi" w:hAnsiTheme="minorHAnsi" w:cs="Arial"/>
                <w:b w:val="0"/>
                <w:bCs w:val="0"/>
                <w:color w:val="auto"/>
                <w:sz w:val="22"/>
              </w:rPr>
            </w:pPr>
            <w:hyperlink r:id="rId9" w:history="1">
              <w:r w:rsidR="00082C20" w:rsidRPr="00FC302F">
                <w:rPr>
                  <w:rFonts w:asciiTheme="minorHAnsi" w:hAnsiTheme="minorHAnsi" w:cs="Arial"/>
                  <w:b w:val="0"/>
                  <w:bCs w:val="0"/>
                  <w:color w:val="0000FF" w:themeColor="hyperlink"/>
                  <w:sz w:val="22"/>
                  <w:u w:val="single"/>
                </w:rPr>
                <w:t>http://finlex.fi/fi/laki/ajantasa/2014/20140028</w:t>
              </w:r>
            </w:hyperlink>
            <w:r w:rsidR="00082C20" w:rsidRPr="00FC302F">
              <w:rPr>
                <w:rFonts w:asciiTheme="minorHAnsi" w:hAnsiTheme="minorHAnsi" w:cs="Arial"/>
                <w:b w:val="0"/>
                <w:bCs w:val="0"/>
                <w:color w:val="auto"/>
                <w:sz w:val="22"/>
              </w:rPr>
              <w:t xml:space="preserve"> </w:t>
            </w:r>
          </w:p>
          <w:p w:rsidR="00082C20" w:rsidRPr="00FC302F" w:rsidRDefault="00082C20" w:rsidP="00082C20">
            <w:pPr>
              <w:spacing w:after="200" w:line="276" w:lineRule="auto"/>
              <w:rPr>
                <w:rFonts w:asciiTheme="minorHAnsi" w:hAnsiTheme="minorHAnsi" w:cs="Arial"/>
                <w:b w:val="0"/>
                <w:bCs w:val="0"/>
                <w:color w:val="auto"/>
                <w:sz w:val="22"/>
              </w:rPr>
            </w:pPr>
            <w:r w:rsidRPr="00FC302F">
              <w:rPr>
                <w:rFonts w:asciiTheme="minorHAnsi" w:hAnsiTheme="minorHAnsi" w:cs="Arial"/>
                <w:b w:val="0"/>
                <w:bCs w:val="0"/>
                <w:color w:val="auto"/>
                <w:sz w:val="22"/>
              </w:rPr>
              <w:t xml:space="preserve">Hanketoimintaa ohjaava valtioneuvoston asetus: </w:t>
            </w:r>
          </w:p>
          <w:p w:rsidR="00082C20" w:rsidRPr="00FC302F" w:rsidRDefault="00FC302F" w:rsidP="00082C20">
            <w:pPr>
              <w:spacing w:after="200" w:line="276" w:lineRule="auto"/>
              <w:rPr>
                <w:rFonts w:asciiTheme="minorHAnsi" w:hAnsiTheme="minorHAnsi" w:cs="Arial"/>
                <w:b w:val="0"/>
                <w:bCs w:val="0"/>
                <w:color w:val="auto"/>
                <w:sz w:val="22"/>
              </w:rPr>
            </w:pPr>
            <w:hyperlink r:id="rId10" w:history="1">
              <w:r w:rsidR="00082C20" w:rsidRPr="00FC302F">
                <w:rPr>
                  <w:rFonts w:asciiTheme="minorHAnsi" w:hAnsiTheme="minorHAnsi" w:cs="Arial"/>
                  <w:b w:val="0"/>
                  <w:bCs w:val="0"/>
                  <w:color w:val="0000FF" w:themeColor="hyperlink"/>
                  <w:sz w:val="22"/>
                  <w:u w:val="single"/>
                </w:rPr>
                <w:t>http://finlex.fi/fi/laki/ajantasa/2014/20141174</w:t>
              </w:r>
            </w:hyperlink>
          </w:p>
          <w:p w:rsidR="00082C20" w:rsidRPr="00FC302F" w:rsidRDefault="00082C20" w:rsidP="00082C20">
            <w:pPr>
              <w:rPr>
                <w:rFonts w:asciiTheme="minorHAnsi" w:hAnsiTheme="minorHAnsi" w:cs="Arial"/>
                <w:szCs w:val="24"/>
              </w:rPr>
            </w:pPr>
          </w:p>
        </w:tc>
      </w:tr>
      <w:tr w:rsidR="00D30EBC" w:rsidRPr="00FC302F" w:rsidTr="000B7B43">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9989" w:type="dxa"/>
            <w:tcBorders>
              <w:left w:val="none" w:sz="0" w:space="0" w:color="auto"/>
              <w:right w:val="none" w:sz="0" w:space="0" w:color="auto"/>
            </w:tcBorders>
          </w:tcPr>
          <w:p w:rsidR="00DE6272" w:rsidRPr="00FC302F" w:rsidRDefault="00FC302F" w:rsidP="00DE6272">
            <w:pPr>
              <w:rPr>
                <w:rFonts w:asciiTheme="minorHAnsi" w:hAnsiTheme="minorHAnsi" w:cs="Arial"/>
                <w:b w:val="0"/>
                <w:color w:val="00B050"/>
                <w:szCs w:val="24"/>
              </w:rPr>
            </w:pPr>
            <w:hyperlink r:id="rId11" w:history="1">
              <w:r w:rsidR="00DE6272" w:rsidRPr="00FC302F">
                <w:rPr>
                  <w:rStyle w:val="Hyperlinkki"/>
                  <w:rFonts w:asciiTheme="minorHAnsi" w:hAnsiTheme="minorHAnsi" w:cs="Arial"/>
                  <w:b w:val="0"/>
                  <w:szCs w:val="24"/>
                </w:rPr>
                <w:t>www.maaseutu.fi</w:t>
              </w:r>
            </w:hyperlink>
          </w:p>
          <w:p w:rsidR="00255AFD" w:rsidRPr="00FC302F" w:rsidRDefault="00255AFD" w:rsidP="00DE6272">
            <w:pPr>
              <w:rPr>
                <w:rFonts w:asciiTheme="minorHAnsi" w:hAnsiTheme="minorHAnsi" w:cs="Arial"/>
                <w:b w:val="0"/>
                <w:color w:val="00B050"/>
                <w:szCs w:val="24"/>
              </w:rPr>
            </w:pPr>
          </w:p>
          <w:p w:rsidR="00D30EBC" w:rsidRPr="00FC302F" w:rsidRDefault="00FC302F" w:rsidP="00DE6272">
            <w:pPr>
              <w:rPr>
                <w:rFonts w:asciiTheme="minorHAnsi" w:hAnsiTheme="minorHAnsi" w:cs="Arial"/>
                <w:b w:val="0"/>
                <w:color w:val="00B050"/>
                <w:szCs w:val="24"/>
              </w:rPr>
            </w:pPr>
            <w:hyperlink r:id="rId12" w:history="1">
              <w:r w:rsidR="00DE6272" w:rsidRPr="00FC302F">
                <w:rPr>
                  <w:rStyle w:val="Hyperlinkki"/>
                  <w:rFonts w:asciiTheme="minorHAnsi" w:hAnsiTheme="minorHAnsi" w:cs="Arial"/>
                  <w:b w:val="0"/>
                  <w:szCs w:val="24"/>
                </w:rPr>
                <w:t>http://www.mavi.fi/fi/tuet-ja-palvelut/hanketoimija/Sivut/maaseudun_hanketuet.aspx</w:t>
              </w:r>
            </w:hyperlink>
          </w:p>
          <w:p w:rsidR="00255AFD" w:rsidRPr="00FC302F" w:rsidRDefault="00255AFD" w:rsidP="00DE6272">
            <w:pPr>
              <w:rPr>
                <w:rFonts w:asciiTheme="minorHAnsi" w:hAnsiTheme="minorHAnsi" w:cs="Arial"/>
                <w:color w:val="00B050"/>
                <w:szCs w:val="24"/>
              </w:rPr>
            </w:pPr>
          </w:p>
        </w:tc>
      </w:tr>
      <w:tr w:rsidR="00D30EBC" w:rsidRPr="00FC302F" w:rsidTr="000B7B43">
        <w:trPr>
          <w:trHeight w:val="1157"/>
        </w:trPr>
        <w:tc>
          <w:tcPr>
            <w:cnfStyle w:val="001000000000" w:firstRow="0" w:lastRow="0" w:firstColumn="1" w:lastColumn="0" w:oddVBand="0" w:evenVBand="0" w:oddHBand="0" w:evenHBand="0" w:firstRowFirstColumn="0" w:firstRowLastColumn="0" w:lastRowFirstColumn="0" w:lastRowLastColumn="0"/>
            <w:tcW w:w="9989" w:type="dxa"/>
          </w:tcPr>
          <w:p w:rsidR="00D30EBC" w:rsidRPr="00FC302F" w:rsidRDefault="00D30EBC" w:rsidP="003506CB">
            <w:pPr>
              <w:rPr>
                <w:rFonts w:asciiTheme="minorHAnsi" w:hAnsiTheme="minorHAnsi" w:cs="Arial"/>
                <w:szCs w:val="24"/>
              </w:rPr>
            </w:pPr>
          </w:p>
          <w:p w:rsidR="00AA522F" w:rsidRPr="00FC302F" w:rsidRDefault="00AA522F" w:rsidP="003506CB">
            <w:pPr>
              <w:rPr>
                <w:rFonts w:asciiTheme="minorHAnsi" w:hAnsiTheme="minorHAnsi" w:cs="Arial"/>
                <w:szCs w:val="24"/>
              </w:rPr>
            </w:pPr>
          </w:p>
        </w:tc>
      </w:tr>
    </w:tbl>
    <w:p w:rsidR="00D30EBC" w:rsidRPr="00FC302F" w:rsidRDefault="00D30EBC" w:rsidP="00D30EBC">
      <w:pPr>
        <w:ind w:hanging="142"/>
        <w:rPr>
          <w:rFonts w:asciiTheme="minorHAnsi" w:hAnsiTheme="minorHAnsi" w:cs="Arial"/>
          <w:szCs w:val="24"/>
        </w:rPr>
      </w:pPr>
    </w:p>
    <w:sectPr w:rsidR="00D30EBC" w:rsidRPr="00FC302F" w:rsidSect="002F4DF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C0FEA"/>
    <w:multiLevelType w:val="hybridMultilevel"/>
    <w:tmpl w:val="7E700E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6DB9181D"/>
    <w:multiLevelType w:val="hybridMultilevel"/>
    <w:tmpl w:val="7E90BD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EBC"/>
    <w:rsid w:val="000207FD"/>
    <w:rsid w:val="000503DC"/>
    <w:rsid w:val="00082C20"/>
    <w:rsid w:val="00086CF5"/>
    <w:rsid w:val="000B7B43"/>
    <w:rsid w:val="00104B4D"/>
    <w:rsid w:val="001111B4"/>
    <w:rsid w:val="001146F4"/>
    <w:rsid w:val="001313C8"/>
    <w:rsid w:val="00146AF3"/>
    <w:rsid w:val="001B1436"/>
    <w:rsid w:val="001C0D73"/>
    <w:rsid w:val="0020227D"/>
    <w:rsid w:val="00231DCD"/>
    <w:rsid w:val="00244290"/>
    <w:rsid w:val="00250DBA"/>
    <w:rsid w:val="00255AFD"/>
    <w:rsid w:val="002E6C11"/>
    <w:rsid w:val="002F4DF4"/>
    <w:rsid w:val="00316D01"/>
    <w:rsid w:val="003506CB"/>
    <w:rsid w:val="003717F5"/>
    <w:rsid w:val="003D7B24"/>
    <w:rsid w:val="00414F22"/>
    <w:rsid w:val="00443889"/>
    <w:rsid w:val="00481FA1"/>
    <w:rsid w:val="004931A6"/>
    <w:rsid w:val="00565F7A"/>
    <w:rsid w:val="005916D2"/>
    <w:rsid w:val="005C7373"/>
    <w:rsid w:val="005E51C3"/>
    <w:rsid w:val="005F6CC0"/>
    <w:rsid w:val="00627627"/>
    <w:rsid w:val="0065057C"/>
    <w:rsid w:val="00664840"/>
    <w:rsid w:val="0067182B"/>
    <w:rsid w:val="00683C09"/>
    <w:rsid w:val="006909A1"/>
    <w:rsid w:val="006A1AD0"/>
    <w:rsid w:val="00744354"/>
    <w:rsid w:val="007D3870"/>
    <w:rsid w:val="00823408"/>
    <w:rsid w:val="008E762A"/>
    <w:rsid w:val="008F5545"/>
    <w:rsid w:val="00954B76"/>
    <w:rsid w:val="00A0524C"/>
    <w:rsid w:val="00A15A64"/>
    <w:rsid w:val="00A342EC"/>
    <w:rsid w:val="00AA522F"/>
    <w:rsid w:val="00B10AFE"/>
    <w:rsid w:val="00BA1E92"/>
    <w:rsid w:val="00BC025B"/>
    <w:rsid w:val="00C2339B"/>
    <w:rsid w:val="00CC60B4"/>
    <w:rsid w:val="00CF7DC5"/>
    <w:rsid w:val="00D30DC1"/>
    <w:rsid w:val="00D30EBC"/>
    <w:rsid w:val="00D772AC"/>
    <w:rsid w:val="00DA4E27"/>
    <w:rsid w:val="00DE6272"/>
    <w:rsid w:val="00E074E0"/>
    <w:rsid w:val="00E170B2"/>
    <w:rsid w:val="00EB5515"/>
    <w:rsid w:val="00ED7819"/>
    <w:rsid w:val="00F27736"/>
    <w:rsid w:val="00F400AC"/>
    <w:rsid w:val="00FC302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30EBC"/>
    <w:rPr>
      <w:rFonts w:ascii="Times New Roman" w:eastAsia="Calibri" w:hAnsi="Times New Roman" w:cs="Times New Roman"/>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D30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aleavarjostus-korostus11">
    <w:name w:val="Vaalea varjostus - korostus 11"/>
    <w:basedOn w:val="Normaalitaulukko"/>
    <w:uiPriority w:val="60"/>
    <w:rsid w:val="00D30EB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ki">
    <w:name w:val="Hyperlink"/>
    <w:basedOn w:val="Kappaleenoletusfontti"/>
    <w:uiPriority w:val="99"/>
    <w:unhideWhenUsed/>
    <w:rsid w:val="003717F5"/>
    <w:rPr>
      <w:color w:val="0000FF" w:themeColor="hyperlink"/>
      <w:u w:val="single"/>
    </w:rPr>
  </w:style>
  <w:style w:type="paragraph" w:styleId="Luettelokappale">
    <w:name w:val="List Paragraph"/>
    <w:basedOn w:val="Normaali"/>
    <w:uiPriority w:val="34"/>
    <w:qFormat/>
    <w:rsid w:val="00A0524C"/>
    <w:pPr>
      <w:ind w:left="720"/>
      <w:contextualSpacing/>
    </w:pPr>
  </w:style>
  <w:style w:type="paragraph" w:customStyle="1" w:styleId="py">
    <w:name w:val="py"/>
    <w:basedOn w:val="Normaali"/>
    <w:rsid w:val="00DE6272"/>
    <w:pPr>
      <w:spacing w:before="100" w:beforeAutospacing="1" w:after="100" w:afterAutospacing="1" w:line="240" w:lineRule="auto"/>
    </w:pPr>
    <w:rPr>
      <w:rFonts w:eastAsia="Times New Roman"/>
      <w:szCs w:val="24"/>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30EBC"/>
    <w:rPr>
      <w:rFonts w:ascii="Times New Roman" w:eastAsia="Calibri" w:hAnsi="Times New Roman" w:cs="Times New Roman"/>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D30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aleavarjostus-korostus11">
    <w:name w:val="Vaalea varjostus - korostus 11"/>
    <w:basedOn w:val="Normaalitaulukko"/>
    <w:uiPriority w:val="60"/>
    <w:rsid w:val="00D30EB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ki">
    <w:name w:val="Hyperlink"/>
    <w:basedOn w:val="Kappaleenoletusfontti"/>
    <w:uiPriority w:val="99"/>
    <w:unhideWhenUsed/>
    <w:rsid w:val="003717F5"/>
    <w:rPr>
      <w:color w:val="0000FF" w:themeColor="hyperlink"/>
      <w:u w:val="single"/>
    </w:rPr>
  </w:style>
  <w:style w:type="paragraph" w:styleId="Luettelokappale">
    <w:name w:val="List Paragraph"/>
    <w:basedOn w:val="Normaali"/>
    <w:uiPriority w:val="34"/>
    <w:qFormat/>
    <w:rsid w:val="00A0524C"/>
    <w:pPr>
      <w:ind w:left="720"/>
      <w:contextualSpacing/>
    </w:pPr>
  </w:style>
  <w:style w:type="paragraph" w:customStyle="1" w:styleId="py">
    <w:name w:val="py"/>
    <w:basedOn w:val="Normaali"/>
    <w:rsid w:val="00DE6272"/>
    <w:pPr>
      <w:spacing w:before="100" w:beforeAutospacing="1" w:after="100" w:afterAutospacing="1" w:line="240" w:lineRule="auto"/>
    </w:pPr>
    <w:rPr>
      <w:rFonts w:eastAsia="Times New Roman"/>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712790">
      <w:bodyDiv w:val="1"/>
      <w:marLeft w:val="0"/>
      <w:marRight w:val="0"/>
      <w:marTop w:val="0"/>
      <w:marBottom w:val="0"/>
      <w:divBdr>
        <w:top w:val="none" w:sz="0" w:space="0" w:color="auto"/>
        <w:left w:val="none" w:sz="0" w:space="0" w:color="auto"/>
        <w:bottom w:val="none" w:sz="0" w:space="0" w:color="auto"/>
        <w:right w:val="none" w:sz="0" w:space="0" w:color="auto"/>
      </w:divBdr>
    </w:div>
    <w:div w:id="104406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yrra.mavi.fi/login.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avi.fi/fi/tietoa-meista/Sivut/kumppanihaku.aspx" TargetMode="External"/><Relationship Id="rId12" Type="http://schemas.openxmlformats.org/officeDocument/2006/relationships/hyperlink" Target="http://www.mavi.fi/fi/tuet-ja-palvelut/hanketoimija/Sivut/maaseudun_hanketuet.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aseutu.fi" TargetMode="External"/><Relationship Id="rId5" Type="http://schemas.openxmlformats.org/officeDocument/2006/relationships/settings" Target="settings.xml"/><Relationship Id="rId10" Type="http://schemas.openxmlformats.org/officeDocument/2006/relationships/hyperlink" Target="http://finlex.fi/fi/laki/ajantasa/2014/20141174" TargetMode="External"/><Relationship Id="rId4" Type="http://schemas.microsoft.com/office/2007/relationships/stylesWithEffects" Target="stylesWithEffects.xml"/><Relationship Id="rId9" Type="http://schemas.openxmlformats.org/officeDocument/2006/relationships/hyperlink" Target="http://finlex.fi/fi/laki/ajantasa/2014/20140028" TargetMode="Externa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2C19DE-29C1-4D2F-801D-8775FB1E9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694</Words>
  <Characters>5628</Characters>
  <Application>Microsoft Office Word</Application>
  <DocSecurity>0</DocSecurity>
  <Lines>46</Lines>
  <Paragraphs>12</Paragraphs>
  <ScaleCrop>false</ScaleCrop>
  <HeadingPairs>
    <vt:vector size="2" baseType="variant">
      <vt:variant>
        <vt:lpstr>Otsikko</vt:lpstr>
      </vt:variant>
      <vt:variant>
        <vt:i4>1</vt:i4>
      </vt:variant>
    </vt:vector>
  </HeadingPairs>
  <TitlesOfParts>
    <vt:vector size="1" baseType="lpstr">
      <vt:lpstr/>
    </vt:vector>
  </TitlesOfParts>
  <Company>AVI ELY</Company>
  <LinksUpToDate>false</LinksUpToDate>
  <CharactersWithSpaces>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A016729</dc:creator>
  <cp:lastModifiedBy>selkaima</cp:lastModifiedBy>
  <cp:revision>4</cp:revision>
  <dcterms:created xsi:type="dcterms:W3CDTF">2015-07-01T11:36:00Z</dcterms:created>
  <dcterms:modified xsi:type="dcterms:W3CDTF">2017-10-05T15:49:00Z</dcterms:modified>
</cp:coreProperties>
</file>