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4" w:rsidRPr="00840803" w:rsidRDefault="00D9242B" w:rsidP="00D30EBC">
      <w:pPr>
        <w:ind w:hanging="142"/>
        <w:rPr>
          <w:rFonts w:asciiTheme="minorHAnsi" w:hAnsiTheme="minorHAnsi" w:cs="Arial"/>
          <w:color w:val="00B050"/>
          <w:sz w:val="28"/>
          <w:szCs w:val="28"/>
          <w:u w:val="single"/>
        </w:rPr>
      </w:pPr>
      <w:r w:rsidRPr="00840803">
        <w:rPr>
          <w:rFonts w:asciiTheme="minorHAnsi" w:hAnsiTheme="minorHAnsi" w:cs="Arial"/>
          <w:sz w:val="28"/>
          <w:szCs w:val="28"/>
        </w:rPr>
        <w:t>Suunnitelmien ja selvitysten laatiminen ja päivittäminen M07</w:t>
      </w:r>
    </w:p>
    <w:p w:rsidR="00DA4E27" w:rsidRPr="00840803" w:rsidRDefault="00DA4E27" w:rsidP="00DA4E27">
      <w:pPr>
        <w:rPr>
          <w:rFonts w:asciiTheme="minorHAnsi" w:hAnsiTheme="minorHAnsi" w:cs="Arial"/>
          <w:sz w:val="22"/>
        </w:rPr>
      </w:pP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840803" w:rsidTr="00D30EBC">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D9242B" w:rsidRPr="00840803" w:rsidRDefault="00D9242B" w:rsidP="00D9242B">
            <w:pPr>
              <w:rPr>
                <w:rFonts w:asciiTheme="minorHAnsi" w:hAnsiTheme="minorHAnsi" w:cs="Arial"/>
                <w:szCs w:val="28"/>
              </w:rPr>
            </w:pPr>
            <w:r w:rsidRPr="00840803">
              <w:rPr>
                <w:rFonts w:asciiTheme="minorHAnsi" w:hAnsiTheme="minorHAnsi"/>
                <w:b w:val="0"/>
                <w:szCs w:val="24"/>
                <w:lang w:eastAsia="fi-FI"/>
              </w:rPr>
              <w:t>M</w:t>
            </w:r>
            <w:r w:rsidR="00716444" w:rsidRPr="00840803">
              <w:rPr>
                <w:rFonts w:asciiTheme="minorHAnsi" w:hAnsiTheme="minorHAnsi"/>
                <w:b w:val="0"/>
                <w:szCs w:val="24"/>
                <w:lang w:eastAsia="fi-FI"/>
              </w:rPr>
              <w:t>aaseutualueiden kuntien ja kylien ja niiden peruspalvelujen kehittämissuunnitelmien sekä Natura 2000 -alueita ja muita luonnonarvoltaan merkittäviä alueita koskevien suojelu- ja hoitosuunnitelm</w:t>
            </w:r>
            <w:r w:rsidRPr="00840803">
              <w:rPr>
                <w:rFonts w:asciiTheme="minorHAnsi" w:hAnsiTheme="minorHAnsi"/>
                <w:b w:val="0"/>
                <w:szCs w:val="24"/>
                <w:lang w:eastAsia="fi-FI"/>
              </w:rPr>
              <w:t>ien laatimisen ja päivittämisen</w:t>
            </w:r>
            <w:r w:rsidRPr="00840803">
              <w:rPr>
                <w:rFonts w:asciiTheme="minorHAnsi" w:hAnsiTheme="minorHAnsi" w:cs="Arial"/>
                <w:szCs w:val="28"/>
              </w:rPr>
              <w:t xml:space="preserve"> (koodi 7.1)</w:t>
            </w:r>
          </w:p>
          <w:p w:rsidR="00454D4B" w:rsidRPr="00840803" w:rsidRDefault="00454D4B" w:rsidP="005916D2">
            <w:pPr>
              <w:rPr>
                <w:rFonts w:asciiTheme="minorHAnsi" w:hAnsiTheme="minorHAnsi" w:cs="Arial"/>
                <w:b w:val="0"/>
                <w:szCs w:val="28"/>
              </w:rPr>
            </w:pPr>
          </w:p>
        </w:tc>
      </w:tr>
      <w:tr w:rsidR="00D30EBC" w:rsidRPr="00840803" w:rsidTr="00D30EB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716444" w:rsidRPr="00840803" w:rsidRDefault="00716444" w:rsidP="00716444">
            <w:pPr>
              <w:rPr>
                <w:rFonts w:asciiTheme="minorHAnsi" w:hAnsiTheme="minorHAnsi" w:cs="Arial"/>
                <w:szCs w:val="28"/>
              </w:rPr>
            </w:pPr>
            <w:r w:rsidRPr="00840803">
              <w:rPr>
                <w:rFonts w:asciiTheme="minorHAnsi" w:hAnsiTheme="minorHAnsi" w:cs="Arial"/>
                <w:szCs w:val="28"/>
              </w:rPr>
              <w:t xml:space="preserve">Kuvaus: </w:t>
            </w:r>
          </w:p>
          <w:p w:rsidR="00716444" w:rsidRPr="00840803" w:rsidRDefault="00716444" w:rsidP="00716444">
            <w:pPr>
              <w:rPr>
                <w:rFonts w:asciiTheme="minorHAnsi" w:hAnsiTheme="minorHAnsi" w:cs="Arial"/>
                <w:szCs w:val="28"/>
              </w:rPr>
            </w:pPr>
          </w:p>
          <w:p w:rsidR="00D30EBC" w:rsidRPr="00840803" w:rsidRDefault="00840803" w:rsidP="00716444">
            <w:pPr>
              <w:rPr>
                <w:rFonts w:asciiTheme="minorHAnsi" w:hAnsiTheme="minorHAnsi"/>
                <w:b w:val="0"/>
                <w:sz w:val="22"/>
              </w:rPr>
            </w:pPr>
            <w:r w:rsidRPr="00840803">
              <w:rPr>
                <w:rFonts w:asciiTheme="minorHAnsi" w:hAnsiTheme="minorHAnsi"/>
                <w:b w:val="0"/>
                <w:sz w:val="22"/>
              </w:rPr>
              <w:t>Toimenpiteen h</w:t>
            </w:r>
            <w:r w:rsidR="00716444" w:rsidRPr="00840803">
              <w:rPr>
                <w:rFonts w:asciiTheme="minorHAnsi" w:hAnsiTheme="minorHAnsi"/>
                <w:b w:val="0"/>
                <w:sz w:val="22"/>
              </w:rPr>
              <w:t>anke</w:t>
            </w:r>
            <w:r w:rsidR="006B0096" w:rsidRPr="00840803">
              <w:rPr>
                <w:rFonts w:asciiTheme="minorHAnsi" w:hAnsiTheme="minorHAnsi"/>
                <w:b w:val="0"/>
                <w:sz w:val="22"/>
              </w:rPr>
              <w:t xml:space="preserve"> voi sisältää </w:t>
            </w:r>
            <w:r w:rsidR="00BF5143" w:rsidRPr="00840803">
              <w:rPr>
                <w:rFonts w:asciiTheme="minorHAnsi" w:hAnsiTheme="minorHAnsi"/>
                <w:b w:val="0"/>
                <w:sz w:val="22"/>
              </w:rPr>
              <w:t xml:space="preserve">erilaisten </w:t>
            </w:r>
            <w:r w:rsidR="006B0096" w:rsidRPr="00840803">
              <w:rPr>
                <w:rFonts w:asciiTheme="minorHAnsi" w:hAnsiTheme="minorHAnsi"/>
                <w:b w:val="0"/>
                <w:sz w:val="22"/>
              </w:rPr>
              <w:t>suunnitelmien laatimista ja päivittämistä</w:t>
            </w:r>
            <w:r w:rsidR="00D9242B" w:rsidRPr="00840803">
              <w:rPr>
                <w:rFonts w:asciiTheme="minorHAnsi" w:hAnsiTheme="minorHAnsi"/>
                <w:b w:val="0"/>
                <w:sz w:val="22"/>
              </w:rPr>
              <w:t xml:space="preserve"> sekä selvitysten tekemistä</w:t>
            </w:r>
            <w:r w:rsidR="006B0096" w:rsidRPr="00840803">
              <w:rPr>
                <w:rFonts w:asciiTheme="minorHAnsi" w:hAnsiTheme="minorHAnsi"/>
                <w:b w:val="0"/>
                <w:sz w:val="22"/>
              </w:rPr>
              <w:t xml:space="preserve">. Kyseessä voi olla mm. palvelujen </w:t>
            </w:r>
            <w:r w:rsidR="00716444" w:rsidRPr="00840803">
              <w:rPr>
                <w:rFonts w:asciiTheme="minorHAnsi" w:hAnsiTheme="minorHAnsi"/>
                <w:b w:val="0"/>
                <w:sz w:val="22"/>
              </w:rPr>
              <w:t>tai</w:t>
            </w:r>
            <w:r w:rsidR="006B0096" w:rsidRPr="00840803">
              <w:rPr>
                <w:rFonts w:asciiTheme="minorHAnsi" w:hAnsiTheme="minorHAnsi"/>
                <w:b w:val="0"/>
                <w:sz w:val="22"/>
              </w:rPr>
              <w:t xml:space="preserve"> kyl</w:t>
            </w:r>
            <w:r w:rsidR="00716444" w:rsidRPr="00840803">
              <w:rPr>
                <w:rFonts w:asciiTheme="minorHAnsi" w:hAnsiTheme="minorHAnsi"/>
                <w:b w:val="0"/>
                <w:sz w:val="22"/>
              </w:rPr>
              <w:t>ä</w:t>
            </w:r>
            <w:r w:rsidR="006B0096" w:rsidRPr="00840803">
              <w:rPr>
                <w:rFonts w:asciiTheme="minorHAnsi" w:hAnsiTheme="minorHAnsi"/>
                <w:b w:val="0"/>
                <w:sz w:val="22"/>
              </w:rPr>
              <w:t>n kehittämissuunnitelma</w:t>
            </w:r>
            <w:r w:rsidR="00BF5143" w:rsidRPr="00840803">
              <w:rPr>
                <w:rFonts w:asciiTheme="minorHAnsi" w:hAnsiTheme="minorHAnsi"/>
                <w:b w:val="0"/>
                <w:sz w:val="22"/>
              </w:rPr>
              <w:t>, turvallisuussuunnitelma</w:t>
            </w:r>
            <w:r w:rsidR="006B0096" w:rsidRPr="00840803">
              <w:rPr>
                <w:rFonts w:asciiTheme="minorHAnsi" w:hAnsiTheme="minorHAnsi"/>
                <w:b w:val="0"/>
                <w:sz w:val="22"/>
              </w:rPr>
              <w:t xml:space="preserve"> tai ympäristön suojelu- tai hoitosuunnitelm</w:t>
            </w:r>
            <w:r w:rsidR="00BF5143" w:rsidRPr="00840803">
              <w:rPr>
                <w:rFonts w:asciiTheme="minorHAnsi" w:hAnsiTheme="minorHAnsi"/>
                <w:b w:val="0"/>
                <w:sz w:val="22"/>
              </w:rPr>
              <w:t>a</w:t>
            </w:r>
            <w:r w:rsidR="00D9242B" w:rsidRPr="00840803">
              <w:rPr>
                <w:rFonts w:asciiTheme="minorHAnsi" w:hAnsiTheme="minorHAnsi"/>
                <w:b w:val="0"/>
                <w:sz w:val="22"/>
              </w:rPr>
              <w:t xml:space="preserve"> tai näihin kytkeytyvä esiselvitys. </w:t>
            </w:r>
          </w:p>
          <w:p w:rsidR="00D9242B" w:rsidRPr="00840803" w:rsidRDefault="00D9242B" w:rsidP="00716444">
            <w:pPr>
              <w:rPr>
                <w:rFonts w:asciiTheme="minorHAnsi" w:hAnsiTheme="minorHAnsi"/>
                <w:b w:val="0"/>
                <w:sz w:val="22"/>
              </w:rPr>
            </w:pPr>
          </w:p>
          <w:p w:rsidR="00D9242B" w:rsidRPr="00840803" w:rsidRDefault="00D9242B" w:rsidP="00D9242B">
            <w:pPr>
              <w:spacing w:after="240"/>
              <w:rPr>
                <w:rFonts w:asciiTheme="minorHAnsi" w:eastAsia="Times New Roman" w:hAnsiTheme="minorHAnsi"/>
                <w:b w:val="0"/>
                <w:sz w:val="22"/>
                <w:lang w:eastAsia="fi-FI"/>
              </w:rPr>
            </w:pPr>
            <w:r w:rsidRPr="00840803">
              <w:rPr>
                <w:rFonts w:asciiTheme="minorHAnsi" w:eastAsia="Times New Roman" w:hAnsiTheme="minorHAnsi"/>
                <w:b w:val="0"/>
                <w:sz w:val="22"/>
                <w:lang w:eastAsia="fi-FI"/>
              </w:rPr>
              <w:t xml:space="preserve">Suunnitelmat ja selvitykset toteutetaan yleishyödyllisinä kehittämishankkeina. Hankkeissa laaditaan, päivitetään tai kehitetään maaseudun palvelujen kehittämissuunnitelmien ja Natura 2000 -alueiden ja muiden luontoarvoiltaan tärkeiden alueiden suojelu-, hoito- ja käyttösuunnitelmia. Hankkeessa voi myös toteuttaa esiselvityksen esimerkiksi palvelujen tarpeesta ja niiden toteuttamisen vaihtoehdoista. </w:t>
            </w:r>
          </w:p>
          <w:p w:rsidR="00716444" w:rsidRPr="00840803" w:rsidRDefault="00716444" w:rsidP="00716444">
            <w:pPr>
              <w:rPr>
                <w:rFonts w:asciiTheme="minorHAnsi" w:hAnsiTheme="minorHAnsi" w:cs="Arial"/>
                <w:sz w:val="28"/>
                <w:szCs w:val="28"/>
              </w:rPr>
            </w:pPr>
          </w:p>
        </w:tc>
      </w:tr>
      <w:tr w:rsidR="00D30EBC" w:rsidRPr="00840803" w:rsidTr="00D30EBC">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D30DC1" w:rsidRPr="00840803" w:rsidRDefault="00D30DC1" w:rsidP="00D30DC1">
            <w:pPr>
              <w:rPr>
                <w:rFonts w:asciiTheme="minorHAnsi" w:hAnsiTheme="minorHAnsi" w:cs="Arial"/>
                <w:b w:val="0"/>
                <w:sz w:val="20"/>
                <w:szCs w:val="28"/>
              </w:rPr>
            </w:pPr>
            <w:r w:rsidRPr="00840803">
              <w:rPr>
                <w:rFonts w:asciiTheme="minorHAnsi" w:hAnsiTheme="minorHAnsi" w:cs="Arial"/>
                <w:szCs w:val="28"/>
              </w:rPr>
              <w:t>Mitä:</w:t>
            </w:r>
            <w:r w:rsidR="00D30EBC" w:rsidRPr="00840803">
              <w:rPr>
                <w:rFonts w:asciiTheme="minorHAnsi" w:hAnsiTheme="minorHAnsi" w:cs="Arial"/>
                <w:szCs w:val="28"/>
              </w:rPr>
              <w:t xml:space="preserve"> </w:t>
            </w:r>
          </w:p>
          <w:p w:rsidR="00D30DC1" w:rsidRPr="00840803" w:rsidRDefault="00D30DC1" w:rsidP="00D30DC1">
            <w:pPr>
              <w:rPr>
                <w:rFonts w:asciiTheme="minorHAnsi" w:hAnsiTheme="minorHAnsi" w:cs="Arial"/>
                <w:b w:val="0"/>
                <w:sz w:val="20"/>
                <w:szCs w:val="28"/>
              </w:rPr>
            </w:pPr>
          </w:p>
          <w:p w:rsidR="00242B41" w:rsidRPr="00840803" w:rsidRDefault="00242B41" w:rsidP="00242B41">
            <w:p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Hyväksyttäviä kustannuksia ovat hankkeiden toteuttamisesta aiheutuvat, tarpeelliset ja kohtuulliset</w:t>
            </w:r>
          </w:p>
          <w:p w:rsidR="00242B41" w:rsidRPr="00840803" w:rsidRDefault="00242B41" w:rsidP="00242B41">
            <w:p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kustannukset. Kehittämishankkeen tuki voi kattaa hankkeeseen liittyvät, tarpeelliset pienhankinnat.</w:t>
            </w:r>
          </w:p>
          <w:p w:rsidR="00242B41" w:rsidRPr="00840803" w:rsidRDefault="00242B41" w:rsidP="00242B41">
            <w:pPr>
              <w:autoSpaceDE w:val="0"/>
              <w:autoSpaceDN w:val="0"/>
              <w:adjustRightInd w:val="0"/>
              <w:rPr>
                <w:rFonts w:asciiTheme="minorHAnsi" w:eastAsiaTheme="minorHAnsi" w:hAnsiTheme="minorHAnsi"/>
                <w:b w:val="0"/>
                <w:sz w:val="22"/>
              </w:rPr>
            </w:pPr>
          </w:p>
          <w:p w:rsidR="00242B41" w:rsidRPr="00840803" w:rsidRDefault="00242B41" w:rsidP="00242B41">
            <w:p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Tukea voidaan myöntää seuraaviin kehittämishankkeen toteuttamisesta aiheutuviin kohtuullisiin</w:t>
            </w:r>
          </w:p>
          <w:p w:rsidR="00242B41" w:rsidRPr="00840803" w:rsidRDefault="00242B41" w:rsidP="00242B41">
            <w:p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kustannuksiin:</w:t>
            </w:r>
          </w:p>
          <w:p w:rsidR="00242B41" w:rsidRPr="00840803" w:rsidRDefault="00242B41" w:rsidP="00242B41">
            <w:pPr>
              <w:pStyle w:val="Luettelokappale"/>
              <w:numPr>
                <w:ilvl w:val="0"/>
                <w:numId w:val="1"/>
              </w:num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palkka- ja palkkiokustannuksiin;</w:t>
            </w:r>
          </w:p>
          <w:p w:rsidR="00242B41" w:rsidRPr="00840803" w:rsidRDefault="00242B41" w:rsidP="00242B41">
            <w:pPr>
              <w:pStyle w:val="Luettelokappale"/>
              <w:numPr>
                <w:ilvl w:val="0"/>
                <w:numId w:val="1"/>
              </w:num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matkakustannuksiin;</w:t>
            </w:r>
          </w:p>
          <w:p w:rsidR="00242B41" w:rsidRPr="00840803" w:rsidRDefault="00242B41" w:rsidP="00242B41">
            <w:pPr>
              <w:pStyle w:val="Luettelokappale"/>
              <w:numPr>
                <w:ilvl w:val="0"/>
                <w:numId w:val="1"/>
              </w:num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ostopalveluiden hankintaan;</w:t>
            </w:r>
          </w:p>
          <w:p w:rsidR="00242B41" w:rsidRPr="00840803" w:rsidRDefault="00242B41" w:rsidP="00242B41">
            <w:pPr>
              <w:pStyle w:val="Luettelokappale"/>
              <w:numPr>
                <w:ilvl w:val="0"/>
                <w:numId w:val="1"/>
              </w:num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vuokrakustannuksiin;</w:t>
            </w:r>
          </w:p>
          <w:p w:rsidR="00242B41" w:rsidRPr="00840803" w:rsidRDefault="00242B41" w:rsidP="00242B41">
            <w:pPr>
              <w:pStyle w:val="Luettelokappale"/>
              <w:numPr>
                <w:ilvl w:val="0"/>
                <w:numId w:val="1"/>
              </w:num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materiaali- ja muihin toteutuksen kannalta välttämättömiin kustannuksiin.</w:t>
            </w:r>
          </w:p>
          <w:p w:rsidR="00242B41" w:rsidRPr="00840803" w:rsidRDefault="00242B41" w:rsidP="00242B41">
            <w:pPr>
              <w:autoSpaceDE w:val="0"/>
              <w:autoSpaceDN w:val="0"/>
              <w:adjustRightInd w:val="0"/>
              <w:rPr>
                <w:rFonts w:asciiTheme="minorHAnsi" w:eastAsiaTheme="minorHAnsi" w:hAnsiTheme="minorHAnsi"/>
                <w:b w:val="0"/>
                <w:sz w:val="22"/>
              </w:rPr>
            </w:pPr>
          </w:p>
          <w:p w:rsidR="00242B41" w:rsidRPr="00840803" w:rsidRDefault="00242B41" w:rsidP="00242B41">
            <w:pPr>
              <w:autoSpaceDE w:val="0"/>
              <w:autoSpaceDN w:val="0"/>
              <w:adjustRightInd w:val="0"/>
              <w:rPr>
                <w:rFonts w:asciiTheme="minorHAnsi" w:eastAsiaTheme="minorHAnsi" w:hAnsiTheme="minorHAnsi"/>
                <w:b w:val="0"/>
                <w:sz w:val="22"/>
              </w:rPr>
            </w:pPr>
            <w:r w:rsidRPr="00840803">
              <w:rPr>
                <w:rFonts w:asciiTheme="minorHAnsi" w:eastAsiaTheme="minorHAnsi" w:hAnsiTheme="minorHAnsi"/>
                <w:b w:val="0"/>
                <w:sz w:val="22"/>
              </w:rPr>
              <w:t>Tuki voidaan myöntää välillisten yleiskustannusten osalta prosenttimääräisenä</w:t>
            </w:r>
          </w:p>
          <w:p w:rsidR="00D9242B" w:rsidRPr="00840803" w:rsidRDefault="00D9242B" w:rsidP="00D9242B">
            <w:pPr>
              <w:autoSpaceDE w:val="0"/>
              <w:autoSpaceDN w:val="0"/>
              <w:adjustRightInd w:val="0"/>
              <w:rPr>
                <w:rFonts w:asciiTheme="minorHAnsi" w:eastAsiaTheme="minorHAnsi" w:hAnsiTheme="minorHAnsi"/>
                <w:b w:val="0"/>
                <w:color w:val="1F497D" w:themeColor="text2"/>
                <w:sz w:val="22"/>
              </w:rPr>
            </w:pPr>
            <w:r w:rsidRPr="00840803">
              <w:rPr>
                <w:rFonts w:asciiTheme="minorHAnsi" w:eastAsiaTheme="minorHAnsi" w:hAnsiTheme="minorHAnsi"/>
                <w:b w:val="0"/>
                <w:color w:val="1F497D" w:themeColor="text2"/>
                <w:sz w:val="22"/>
              </w:rPr>
              <w:t>korvauksena</w:t>
            </w:r>
            <w:r w:rsidR="00E30CF9" w:rsidRPr="00840803">
              <w:rPr>
                <w:rFonts w:asciiTheme="minorHAnsi" w:eastAsiaTheme="minorHAnsi" w:hAnsiTheme="minorHAnsi"/>
                <w:b w:val="0"/>
                <w:color w:val="1F497D" w:themeColor="text2"/>
                <w:sz w:val="22"/>
              </w:rPr>
              <w:t xml:space="preserve"> tai tositeperusteisesti</w:t>
            </w:r>
            <w:r w:rsidRPr="00840803">
              <w:rPr>
                <w:rFonts w:asciiTheme="minorHAnsi" w:eastAsiaTheme="minorHAnsi" w:hAnsiTheme="minorHAnsi"/>
                <w:b w:val="0"/>
                <w:color w:val="1F497D" w:themeColor="text2"/>
                <w:sz w:val="22"/>
              </w:rPr>
              <w:t>.</w:t>
            </w:r>
          </w:p>
          <w:p w:rsidR="00D9242B" w:rsidRPr="00840803" w:rsidRDefault="00D9242B" w:rsidP="00D9242B">
            <w:pPr>
              <w:autoSpaceDE w:val="0"/>
              <w:autoSpaceDN w:val="0"/>
              <w:adjustRightInd w:val="0"/>
              <w:rPr>
                <w:rFonts w:asciiTheme="minorHAnsi" w:hAnsiTheme="minorHAnsi" w:cs="Arial"/>
                <w:sz w:val="28"/>
                <w:szCs w:val="28"/>
              </w:rPr>
            </w:pPr>
          </w:p>
        </w:tc>
      </w:tr>
      <w:tr w:rsidR="00D30EBC" w:rsidRPr="00840803"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F85CE1" w:rsidRPr="00840803" w:rsidRDefault="00D30EBC" w:rsidP="006861E3">
            <w:pPr>
              <w:spacing w:after="240"/>
              <w:rPr>
                <w:rFonts w:asciiTheme="minorHAnsi" w:hAnsiTheme="minorHAnsi" w:cs="Arial"/>
                <w:b w:val="0"/>
                <w:szCs w:val="28"/>
              </w:rPr>
            </w:pPr>
            <w:r w:rsidRPr="00840803">
              <w:rPr>
                <w:rFonts w:asciiTheme="minorHAnsi" w:hAnsiTheme="minorHAnsi" w:cs="Arial"/>
                <w:szCs w:val="28"/>
              </w:rPr>
              <w:t>Kenelle</w:t>
            </w:r>
            <w:r w:rsidRPr="00840803">
              <w:rPr>
                <w:rFonts w:asciiTheme="minorHAnsi" w:hAnsiTheme="minorHAnsi" w:cs="Arial"/>
                <w:b w:val="0"/>
                <w:szCs w:val="28"/>
              </w:rPr>
              <w:t xml:space="preserve">: </w:t>
            </w:r>
          </w:p>
          <w:p w:rsidR="006861E3" w:rsidRPr="00840803" w:rsidRDefault="006861E3" w:rsidP="006861E3">
            <w:pPr>
              <w:spacing w:after="240"/>
              <w:rPr>
                <w:rFonts w:asciiTheme="minorHAnsi" w:eastAsia="Times New Roman" w:hAnsiTheme="minorHAnsi"/>
                <w:b w:val="0"/>
                <w:sz w:val="22"/>
                <w:lang w:eastAsia="fi-FI"/>
              </w:rPr>
            </w:pPr>
            <w:r w:rsidRPr="00840803">
              <w:rPr>
                <w:rFonts w:asciiTheme="minorHAnsi" w:eastAsia="Times New Roman" w:hAnsiTheme="minorHAnsi"/>
                <w:b w:val="0"/>
                <w:sz w:val="22"/>
                <w:lang w:eastAsia="fi-FI"/>
              </w:rPr>
              <w:t>Tuensaajina voivat olla julkisoikeudelliset ja sellaiset yksityisoikeudelliset yhteisöt, joiden pääasiallinen tavoite ei ole voitontavoittelu sekä mm. kunnat, yhdistykset, järjestöt, osuuskunnat.</w:t>
            </w:r>
          </w:p>
          <w:p w:rsidR="00D30EBC" w:rsidRPr="00840803" w:rsidRDefault="00D30EBC" w:rsidP="006861E3">
            <w:pPr>
              <w:rPr>
                <w:rFonts w:asciiTheme="minorHAnsi" w:hAnsiTheme="minorHAnsi" w:cs="Arial"/>
                <w:sz w:val="28"/>
                <w:szCs w:val="28"/>
              </w:rPr>
            </w:pPr>
          </w:p>
        </w:tc>
      </w:tr>
      <w:tr w:rsidR="00D30EBC" w:rsidRPr="00840803" w:rsidTr="00D30EBC">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B10AFE" w:rsidRPr="00840803" w:rsidRDefault="00B10AFE" w:rsidP="00B10AFE">
            <w:pPr>
              <w:rPr>
                <w:rFonts w:asciiTheme="minorHAnsi" w:hAnsiTheme="minorHAnsi" w:cs="Arial"/>
                <w:b w:val="0"/>
                <w:sz w:val="20"/>
              </w:rPr>
            </w:pPr>
          </w:p>
          <w:p w:rsidR="002E3B9E" w:rsidRPr="00840803" w:rsidRDefault="00454D4B" w:rsidP="00454D4B">
            <w:pPr>
              <w:spacing w:before="240" w:after="240"/>
              <w:rPr>
                <w:rFonts w:asciiTheme="minorHAnsi" w:hAnsiTheme="minorHAnsi" w:cs="Arial"/>
                <w:szCs w:val="28"/>
              </w:rPr>
            </w:pPr>
            <w:r w:rsidRPr="00840803">
              <w:rPr>
                <w:rFonts w:asciiTheme="minorHAnsi" w:hAnsiTheme="minorHAnsi" w:cs="Arial"/>
                <w:szCs w:val="28"/>
              </w:rPr>
              <w:t>Tukitaso</w:t>
            </w:r>
            <w:r w:rsidR="00B10AFE" w:rsidRPr="00840803">
              <w:rPr>
                <w:rFonts w:asciiTheme="minorHAnsi" w:hAnsiTheme="minorHAnsi" w:cs="Arial"/>
                <w:szCs w:val="28"/>
              </w:rPr>
              <w:t>:</w:t>
            </w:r>
            <w:r w:rsidRPr="00840803">
              <w:rPr>
                <w:rFonts w:asciiTheme="minorHAnsi" w:hAnsiTheme="minorHAnsi" w:cs="Arial"/>
                <w:szCs w:val="28"/>
              </w:rPr>
              <w:t xml:space="preserve"> </w:t>
            </w:r>
          </w:p>
          <w:p w:rsidR="00D9242B" w:rsidRPr="00840803" w:rsidRDefault="00454D4B" w:rsidP="00D9242B">
            <w:pPr>
              <w:autoSpaceDE w:val="0"/>
              <w:autoSpaceDN w:val="0"/>
              <w:adjustRightInd w:val="0"/>
              <w:rPr>
                <w:rFonts w:asciiTheme="minorHAnsi" w:eastAsia="Times New Roman" w:hAnsiTheme="minorHAnsi"/>
                <w:b w:val="0"/>
                <w:sz w:val="22"/>
                <w:lang w:eastAsia="fi-FI"/>
              </w:rPr>
            </w:pPr>
            <w:r w:rsidRPr="00840803">
              <w:rPr>
                <w:rFonts w:asciiTheme="minorHAnsi" w:eastAsia="Times New Roman" w:hAnsiTheme="minorHAnsi"/>
                <w:b w:val="0"/>
                <w:sz w:val="22"/>
                <w:lang w:eastAsia="fi-FI"/>
              </w:rPr>
              <w:t xml:space="preserve">Kehittämishankkeen julkisen tuen osuus on </w:t>
            </w:r>
            <w:r w:rsidR="00703ABE" w:rsidRPr="00840803">
              <w:rPr>
                <w:rFonts w:asciiTheme="minorHAnsi" w:eastAsia="Times New Roman" w:hAnsiTheme="minorHAnsi"/>
                <w:b w:val="0"/>
                <w:sz w:val="22"/>
                <w:lang w:eastAsia="fi-FI"/>
              </w:rPr>
              <w:t>enintään 10</w:t>
            </w:r>
            <w:r w:rsidRPr="00840803">
              <w:rPr>
                <w:rFonts w:asciiTheme="minorHAnsi" w:eastAsia="Times New Roman" w:hAnsiTheme="minorHAnsi"/>
                <w:b w:val="0"/>
                <w:sz w:val="22"/>
                <w:lang w:eastAsia="fi-FI"/>
              </w:rPr>
              <w:t xml:space="preserve">0 % hyväksyttävistä kustannuksista. </w:t>
            </w:r>
          </w:p>
          <w:p w:rsidR="00D9242B" w:rsidRPr="00840803" w:rsidRDefault="00D9242B" w:rsidP="00D9242B">
            <w:pPr>
              <w:autoSpaceDE w:val="0"/>
              <w:autoSpaceDN w:val="0"/>
              <w:adjustRightInd w:val="0"/>
              <w:rPr>
                <w:rFonts w:asciiTheme="minorHAnsi" w:eastAsia="Times New Roman" w:hAnsiTheme="minorHAnsi"/>
                <w:b w:val="0"/>
                <w:sz w:val="22"/>
                <w:lang w:eastAsia="fi-FI"/>
              </w:rPr>
            </w:pPr>
          </w:p>
          <w:p w:rsidR="00D30EBC" w:rsidRPr="00840803" w:rsidRDefault="00D9242B" w:rsidP="00840803">
            <w:pPr>
              <w:autoSpaceDE w:val="0"/>
              <w:autoSpaceDN w:val="0"/>
              <w:adjustRightInd w:val="0"/>
              <w:rPr>
                <w:rFonts w:asciiTheme="minorHAnsi" w:hAnsiTheme="minorHAnsi" w:cs="Arial"/>
                <w:sz w:val="28"/>
                <w:szCs w:val="28"/>
              </w:rPr>
            </w:pPr>
            <w:r w:rsidRPr="00840803">
              <w:rPr>
                <w:rFonts w:asciiTheme="minorHAnsi" w:hAnsiTheme="minorHAnsi"/>
                <w:b w:val="0"/>
                <w:sz w:val="22"/>
              </w:rPr>
              <w:t>Hankkeen yksityisenä rahoituksena voidaan hyväksyä vastikkeetta hankkeen hyväksi tehtyä työtä eli talkootyötä.</w:t>
            </w:r>
          </w:p>
        </w:tc>
      </w:tr>
      <w:tr w:rsidR="00D30EBC" w:rsidRPr="00840803" w:rsidTr="00D30EBC">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840803" w:rsidRDefault="00B10AFE" w:rsidP="00B10AFE">
            <w:pPr>
              <w:rPr>
                <w:rFonts w:asciiTheme="minorHAnsi" w:hAnsiTheme="minorHAnsi" w:cs="Arial"/>
                <w:b w:val="0"/>
                <w:sz w:val="20"/>
              </w:rPr>
            </w:pPr>
          </w:p>
          <w:p w:rsidR="00DA4E27" w:rsidRPr="00840803" w:rsidRDefault="00B10AFE" w:rsidP="002E3B9E">
            <w:pPr>
              <w:rPr>
                <w:rFonts w:asciiTheme="minorHAnsi" w:hAnsiTheme="minorHAnsi" w:cs="Arial"/>
                <w:szCs w:val="28"/>
              </w:rPr>
            </w:pPr>
            <w:r w:rsidRPr="00840803">
              <w:rPr>
                <w:rFonts w:asciiTheme="minorHAnsi" w:hAnsiTheme="minorHAnsi" w:cs="Arial"/>
                <w:szCs w:val="28"/>
              </w:rPr>
              <w:t xml:space="preserve">Ehdot ja kriteerit: </w:t>
            </w:r>
          </w:p>
          <w:p w:rsidR="00D8482C" w:rsidRPr="00840803" w:rsidRDefault="00D8482C" w:rsidP="002E3B9E">
            <w:pPr>
              <w:rPr>
                <w:rFonts w:asciiTheme="minorHAnsi" w:hAnsiTheme="minorHAnsi" w:cs="Arial"/>
                <w:szCs w:val="28"/>
              </w:rPr>
            </w:pPr>
          </w:p>
          <w:p w:rsidR="00D8482C" w:rsidRPr="00840803" w:rsidRDefault="00D8482C" w:rsidP="00D8482C">
            <w:pPr>
              <w:rPr>
                <w:rFonts w:asciiTheme="minorHAnsi" w:eastAsiaTheme="minorHAnsi" w:hAnsiTheme="minorHAnsi"/>
                <w:b w:val="0"/>
                <w:sz w:val="22"/>
              </w:rPr>
            </w:pPr>
            <w:r w:rsidRPr="00840803">
              <w:rPr>
                <w:rFonts w:asciiTheme="minorHAnsi" w:eastAsiaTheme="minorHAnsi" w:hAnsiTheme="minorHAnsi"/>
                <w:b w:val="0"/>
                <w:sz w:val="22"/>
              </w:rPr>
              <w:t xml:space="preserve">Kehittämishanketuen myöntämisen edellytyksenä on, että hakijalla on riittävät taloudelliset ja toiminnalliset edellytykset hankkeen toteuttamiseen. Hanketukea voidaan myöntää vain toimenpiteeseen, joka on järjestetty hakijan tavanomaisesta toiminnasta erillisen hankkeen muotoon ja jonka kesto on enintään kolme vuotta tai erityisestä syystä enintään viisi vuotta. </w:t>
            </w:r>
          </w:p>
          <w:p w:rsidR="00D8482C" w:rsidRPr="00840803" w:rsidRDefault="00D8482C" w:rsidP="00D8482C">
            <w:pPr>
              <w:rPr>
                <w:rFonts w:asciiTheme="minorHAnsi" w:eastAsiaTheme="minorHAnsi" w:hAnsiTheme="minorHAnsi"/>
                <w:b w:val="0"/>
                <w:sz w:val="22"/>
              </w:rPr>
            </w:pPr>
          </w:p>
          <w:p w:rsidR="00D8482C" w:rsidRPr="00840803" w:rsidRDefault="00D8482C" w:rsidP="00D8482C">
            <w:pPr>
              <w:rPr>
                <w:rFonts w:asciiTheme="minorHAnsi" w:eastAsiaTheme="minorHAnsi" w:hAnsiTheme="minorHAnsi"/>
                <w:b w:val="0"/>
                <w:sz w:val="22"/>
              </w:rPr>
            </w:pPr>
            <w:r w:rsidRPr="00840803">
              <w:rPr>
                <w:rFonts w:asciiTheme="minorHAnsi" w:eastAsiaTheme="minorHAnsi" w:hAnsiTheme="minorHAnsi"/>
                <w:b w:val="0"/>
                <w:sz w:val="22"/>
              </w:rPr>
              <w:t>Tuen myöntämisen edellytyksenä on, että hakija esittää hankesuunnitelman ja että hankkeen tulokset ovat yleisesti hyödynnettävissä.</w:t>
            </w:r>
          </w:p>
          <w:p w:rsidR="00D8482C" w:rsidRPr="00840803" w:rsidRDefault="00D8482C" w:rsidP="00D8482C">
            <w:pPr>
              <w:rPr>
                <w:rFonts w:asciiTheme="minorHAnsi" w:hAnsiTheme="minorHAnsi" w:cs="Arial"/>
                <w:sz w:val="28"/>
                <w:szCs w:val="28"/>
              </w:rPr>
            </w:pPr>
          </w:p>
        </w:tc>
      </w:tr>
      <w:tr w:rsidR="00D30EBC" w:rsidRPr="00840803" w:rsidTr="00D30EBC">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A4E27" w:rsidRPr="00840803" w:rsidRDefault="00D30EBC" w:rsidP="00D30DC1">
            <w:pPr>
              <w:rPr>
                <w:rFonts w:asciiTheme="minorHAnsi" w:hAnsiTheme="minorHAnsi" w:cs="Arial"/>
                <w:b w:val="0"/>
                <w:sz w:val="20"/>
              </w:rPr>
            </w:pPr>
            <w:r w:rsidRPr="00840803">
              <w:rPr>
                <w:rFonts w:asciiTheme="minorHAnsi" w:hAnsiTheme="minorHAnsi" w:cs="Arial"/>
              </w:rPr>
              <w:t xml:space="preserve">Toimi näin: </w:t>
            </w:r>
          </w:p>
          <w:p w:rsidR="00DA4E27" w:rsidRPr="00840803" w:rsidRDefault="00DA4E27" w:rsidP="00D30DC1">
            <w:pPr>
              <w:rPr>
                <w:rFonts w:asciiTheme="minorHAnsi" w:hAnsiTheme="minorHAnsi" w:cs="Arial"/>
                <w:b w:val="0"/>
                <w:sz w:val="20"/>
              </w:rPr>
            </w:pPr>
          </w:p>
          <w:p w:rsidR="00454D4B" w:rsidRPr="00840803" w:rsidRDefault="002E3B9E" w:rsidP="00454D4B">
            <w:pPr>
              <w:spacing w:after="200" w:line="276" w:lineRule="auto"/>
              <w:rPr>
                <w:rFonts w:asciiTheme="minorHAnsi" w:hAnsiTheme="minorHAnsi"/>
                <w:b w:val="0"/>
                <w:bCs w:val="0"/>
                <w:color w:val="auto"/>
                <w:sz w:val="22"/>
              </w:rPr>
            </w:pPr>
            <w:r w:rsidRPr="00840803">
              <w:rPr>
                <w:rFonts w:asciiTheme="minorHAnsi" w:hAnsiTheme="minorHAnsi"/>
                <w:b w:val="0"/>
                <w:bCs w:val="0"/>
                <w:color w:val="auto"/>
                <w:sz w:val="22"/>
              </w:rPr>
              <w:t xml:space="preserve">Kehittämishankkeeseen </w:t>
            </w:r>
            <w:r w:rsidR="00454D4B" w:rsidRPr="00840803">
              <w:rPr>
                <w:rFonts w:asciiTheme="minorHAnsi" w:hAnsiTheme="minorHAnsi"/>
                <w:b w:val="0"/>
                <w:bCs w:val="0"/>
                <w:color w:val="auto"/>
                <w:sz w:val="22"/>
              </w:rPr>
              <w:t xml:space="preserve">voit hakea tukea alueesi </w:t>
            </w:r>
            <w:proofErr w:type="spellStart"/>
            <w:r w:rsidR="00454D4B" w:rsidRPr="00840803">
              <w:rPr>
                <w:rFonts w:asciiTheme="minorHAnsi" w:hAnsiTheme="minorHAnsi"/>
                <w:b w:val="0"/>
                <w:bCs w:val="0"/>
                <w:color w:val="auto"/>
                <w:sz w:val="22"/>
              </w:rPr>
              <w:t>ELY-keskuksesta</w:t>
            </w:r>
            <w:proofErr w:type="spellEnd"/>
            <w:r w:rsidR="00454D4B" w:rsidRPr="00840803">
              <w:rPr>
                <w:rFonts w:asciiTheme="minorHAnsi" w:hAnsiTheme="minorHAnsi"/>
                <w:b w:val="0"/>
                <w:bCs w:val="0"/>
                <w:color w:val="auto"/>
                <w:sz w:val="22"/>
              </w:rPr>
              <w:t xml:space="preserve"> tai </w:t>
            </w:r>
            <w:proofErr w:type="spellStart"/>
            <w:r w:rsidR="00454D4B" w:rsidRPr="00840803">
              <w:rPr>
                <w:rFonts w:asciiTheme="minorHAnsi" w:hAnsiTheme="minorHAnsi"/>
                <w:b w:val="0"/>
                <w:bCs w:val="0"/>
                <w:color w:val="auto"/>
                <w:sz w:val="22"/>
              </w:rPr>
              <w:t>Leader-ryhmästä</w:t>
            </w:r>
            <w:proofErr w:type="spellEnd"/>
            <w:r w:rsidR="00454D4B" w:rsidRPr="00840803">
              <w:rPr>
                <w:rFonts w:asciiTheme="minorHAnsi" w:hAnsiTheme="minorHAnsi"/>
                <w:b w:val="0"/>
                <w:bCs w:val="0"/>
                <w:color w:val="auto"/>
                <w:sz w:val="22"/>
              </w:rPr>
              <w:t xml:space="preserve">. </w:t>
            </w:r>
          </w:p>
          <w:p w:rsidR="00454D4B" w:rsidRPr="00840803" w:rsidRDefault="00454D4B" w:rsidP="00454D4B">
            <w:pPr>
              <w:spacing w:after="200" w:line="276" w:lineRule="auto"/>
              <w:rPr>
                <w:rFonts w:asciiTheme="minorHAnsi" w:hAnsiTheme="minorHAnsi" w:cs="Arial"/>
                <w:bCs w:val="0"/>
                <w:color w:val="auto"/>
                <w:sz w:val="20"/>
              </w:rPr>
            </w:pPr>
            <w:r w:rsidRPr="00840803">
              <w:rPr>
                <w:rFonts w:asciiTheme="minorHAnsi" w:hAnsiTheme="minorHAnsi"/>
                <w:b w:val="0"/>
                <w:bCs w:val="0"/>
                <w:color w:val="auto"/>
                <w:sz w:val="22"/>
              </w:rPr>
              <w:t xml:space="preserve">Yhteystiedot löydät täältä: </w:t>
            </w:r>
            <w:hyperlink r:id="rId7" w:history="1">
              <w:r w:rsidRPr="00840803">
                <w:rPr>
                  <w:rFonts w:asciiTheme="minorHAnsi" w:hAnsiTheme="minorHAnsi"/>
                  <w:b w:val="0"/>
                  <w:bCs w:val="0"/>
                  <w:color w:val="0000FF" w:themeColor="hyperlink"/>
                  <w:sz w:val="22"/>
                  <w:u w:val="single"/>
                </w:rPr>
                <w:t>http://www.mavi.fi/fi/tietoa-meista/Sivut/kumppanihaku.aspx</w:t>
              </w:r>
            </w:hyperlink>
            <w:r w:rsidRPr="00840803">
              <w:rPr>
                <w:rFonts w:asciiTheme="minorHAnsi" w:hAnsiTheme="minorHAnsi" w:cs="Arial"/>
                <w:bCs w:val="0"/>
                <w:color w:val="auto"/>
              </w:rPr>
              <w:t xml:space="preserve"> </w:t>
            </w:r>
          </w:p>
          <w:p w:rsidR="00DA4E27" w:rsidRPr="00840803" w:rsidRDefault="00DA4E27" w:rsidP="00D30DC1">
            <w:pPr>
              <w:rPr>
                <w:rFonts w:asciiTheme="minorHAnsi" w:hAnsiTheme="minorHAnsi" w:cs="Arial"/>
                <w:b w:val="0"/>
                <w:sz w:val="28"/>
                <w:szCs w:val="28"/>
              </w:rPr>
            </w:pPr>
          </w:p>
        </w:tc>
      </w:tr>
      <w:tr w:rsidR="00D30EBC" w:rsidRPr="00840803" w:rsidTr="00D30EB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454D4B" w:rsidRPr="00840803" w:rsidRDefault="00D30EBC" w:rsidP="00454D4B">
            <w:pPr>
              <w:rPr>
                <w:rFonts w:asciiTheme="minorHAnsi" w:hAnsiTheme="minorHAnsi" w:cs="Arial"/>
                <w:b w:val="0"/>
                <w:sz w:val="20"/>
              </w:rPr>
            </w:pPr>
            <w:r w:rsidRPr="00840803">
              <w:rPr>
                <w:rFonts w:asciiTheme="minorHAnsi" w:hAnsiTheme="minorHAnsi" w:cs="Arial"/>
              </w:rPr>
              <w:t>Sähköinen hakulomake tai asiointipalvelu:</w:t>
            </w:r>
            <w:r w:rsidR="00D30DC1" w:rsidRPr="00840803">
              <w:rPr>
                <w:rFonts w:asciiTheme="minorHAnsi" w:hAnsiTheme="minorHAnsi" w:cs="Arial"/>
              </w:rPr>
              <w:t xml:space="preserve"> </w:t>
            </w:r>
          </w:p>
          <w:p w:rsidR="00454D4B" w:rsidRPr="00840803" w:rsidRDefault="00454D4B" w:rsidP="00454D4B">
            <w:pPr>
              <w:rPr>
                <w:rFonts w:asciiTheme="minorHAnsi" w:hAnsiTheme="minorHAnsi" w:cs="Arial"/>
                <w:b w:val="0"/>
                <w:sz w:val="20"/>
              </w:rPr>
            </w:pPr>
          </w:p>
          <w:p w:rsidR="00D30EBC" w:rsidRPr="00840803" w:rsidRDefault="00840803" w:rsidP="00454D4B">
            <w:pPr>
              <w:rPr>
                <w:rFonts w:asciiTheme="minorHAnsi" w:hAnsiTheme="minorHAnsi" w:cs="Arial"/>
                <w:b w:val="0"/>
                <w:sz w:val="20"/>
                <w:szCs w:val="28"/>
              </w:rPr>
            </w:pPr>
            <w:hyperlink r:id="rId8" w:history="1">
              <w:r w:rsidR="00454D4B" w:rsidRPr="00840803">
                <w:rPr>
                  <w:rStyle w:val="Hyperlinkki"/>
                  <w:rFonts w:asciiTheme="minorHAnsi" w:hAnsiTheme="minorHAnsi" w:cs="Arial"/>
                  <w:sz w:val="20"/>
                  <w:szCs w:val="28"/>
                </w:rPr>
                <w:t>http://hyrra.mavi.fi/login.html</w:t>
              </w:r>
            </w:hyperlink>
          </w:p>
        </w:tc>
      </w:tr>
      <w:tr w:rsidR="00D30EBC" w:rsidRPr="00840803" w:rsidTr="00086CF5">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840803" w:rsidRDefault="00D30EBC" w:rsidP="00D8482C">
            <w:pPr>
              <w:rPr>
                <w:rFonts w:asciiTheme="minorHAnsi" w:hAnsiTheme="minorHAnsi" w:cs="Arial"/>
              </w:rPr>
            </w:pPr>
            <w:r w:rsidRPr="00840803">
              <w:rPr>
                <w:rFonts w:asciiTheme="minorHAnsi" w:hAnsiTheme="minorHAnsi" w:cs="Arial"/>
              </w:rPr>
              <w:t>Katso myös</w:t>
            </w:r>
            <w:r w:rsidR="00D8482C" w:rsidRPr="00840803">
              <w:rPr>
                <w:rFonts w:asciiTheme="minorHAnsi" w:hAnsiTheme="minorHAnsi" w:cs="Arial"/>
              </w:rPr>
              <w:t>:</w:t>
            </w:r>
          </w:p>
          <w:p w:rsidR="00D8482C" w:rsidRPr="00840803" w:rsidRDefault="00D8482C" w:rsidP="00D8482C">
            <w:pPr>
              <w:rPr>
                <w:rFonts w:asciiTheme="minorHAnsi" w:hAnsiTheme="minorHAnsi" w:cs="Arial"/>
              </w:rPr>
            </w:pPr>
          </w:p>
          <w:p w:rsidR="00D8482C" w:rsidRPr="00840803" w:rsidRDefault="00D8482C" w:rsidP="00D8482C">
            <w:pPr>
              <w:spacing w:after="200" w:line="276" w:lineRule="auto"/>
              <w:rPr>
                <w:rFonts w:asciiTheme="minorHAnsi" w:hAnsiTheme="minorHAnsi"/>
                <w:color w:val="auto"/>
                <w:sz w:val="22"/>
              </w:rPr>
            </w:pPr>
            <w:r w:rsidRPr="00840803">
              <w:rPr>
                <w:rFonts w:asciiTheme="minorHAnsi" w:hAnsiTheme="minorHAnsi"/>
                <w:b w:val="0"/>
                <w:bCs w:val="0"/>
                <w:color w:val="auto"/>
                <w:sz w:val="22"/>
              </w:rPr>
              <w:t xml:space="preserve">Laki maaseudun kehittämisen tukemisesta: </w:t>
            </w:r>
          </w:p>
          <w:p w:rsidR="00D8482C" w:rsidRPr="00840803" w:rsidRDefault="00840803" w:rsidP="00D8482C">
            <w:pPr>
              <w:spacing w:after="200" w:line="276" w:lineRule="auto"/>
              <w:rPr>
                <w:rFonts w:asciiTheme="minorHAnsi" w:hAnsiTheme="minorHAnsi"/>
                <w:color w:val="auto"/>
                <w:sz w:val="22"/>
              </w:rPr>
            </w:pPr>
            <w:hyperlink r:id="rId9" w:history="1">
              <w:r w:rsidR="00D8482C" w:rsidRPr="00840803">
                <w:rPr>
                  <w:rFonts w:asciiTheme="minorHAnsi" w:hAnsiTheme="minorHAnsi"/>
                  <w:b w:val="0"/>
                  <w:bCs w:val="0"/>
                  <w:color w:val="0000FF" w:themeColor="hyperlink"/>
                  <w:sz w:val="22"/>
                  <w:u w:val="single"/>
                </w:rPr>
                <w:t>http://finlex.fi/fi/laki/ajantasa/2014/20140028</w:t>
              </w:r>
            </w:hyperlink>
            <w:r w:rsidR="00D8482C" w:rsidRPr="00840803">
              <w:rPr>
                <w:rFonts w:asciiTheme="minorHAnsi" w:hAnsiTheme="minorHAnsi"/>
                <w:b w:val="0"/>
                <w:bCs w:val="0"/>
                <w:color w:val="auto"/>
                <w:sz w:val="22"/>
              </w:rPr>
              <w:t xml:space="preserve"> </w:t>
            </w:r>
            <w:bookmarkStart w:id="0" w:name="_GoBack"/>
            <w:bookmarkEnd w:id="0"/>
          </w:p>
          <w:p w:rsidR="00D8482C" w:rsidRPr="00840803" w:rsidRDefault="00D8482C" w:rsidP="00D8482C">
            <w:pPr>
              <w:spacing w:after="200" w:line="276" w:lineRule="auto"/>
              <w:rPr>
                <w:rFonts w:asciiTheme="minorHAnsi" w:hAnsiTheme="minorHAnsi"/>
                <w:color w:val="auto"/>
                <w:sz w:val="22"/>
              </w:rPr>
            </w:pPr>
            <w:r w:rsidRPr="00840803">
              <w:rPr>
                <w:rFonts w:asciiTheme="minorHAnsi" w:hAnsiTheme="minorHAnsi"/>
                <w:b w:val="0"/>
                <w:bCs w:val="0"/>
                <w:color w:val="auto"/>
                <w:sz w:val="22"/>
              </w:rPr>
              <w:t xml:space="preserve">Hanketoimintaa ohjaava valtioneuvoston asetus: </w:t>
            </w:r>
          </w:p>
          <w:p w:rsidR="00D8482C" w:rsidRPr="00840803" w:rsidRDefault="00840803" w:rsidP="00D8482C">
            <w:pPr>
              <w:spacing w:after="200" w:line="276" w:lineRule="auto"/>
              <w:rPr>
                <w:rFonts w:asciiTheme="minorHAnsi" w:hAnsiTheme="minorHAnsi"/>
                <w:color w:val="auto"/>
                <w:sz w:val="22"/>
              </w:rPr>
            </w:pPr>
            <w:hyperlink r:id="rId10" w:history="1">
              <w:r w:rsidR="00D8482C" w:rsidRPr="00840803">
                <w:rPr>
                  <w:rFonts w:asciiTheme="minorHAnsi" w:hAnsiTheme="minorHAnsi"/>
                  <w:b w:val="0"/>
                  <w:bCs w:val="0"/>
                  <w:color w:val="0000FF" w:themeColor="hyperlink"/>
                  <w:sz w:val="22"/>
                  <w:u w:val="single"/>
                </w:rPr>
                <w:t>http://finlex.fi/fi/laki/ajantasa/2014/20141174</w:t>
              </w:r>
            </w:hyperlink>
          </w:p>
          <w:p w:rsidR="00D8482C" w:rsidRPr="00840803" w:rsidRDefault="00D8482C" w:rsidP="00D8482C">
            <w:pPr>
              <w:rPr>
                <w:rFonts w:asciiTheme="minorHAnsi" w:hAnsiTheme="minorHAnsi" w:cs="Arial"/>
              </w:rPr>
            </w:pPr>
          </w:p>
        </w:tc>
      </w:tr>
      <w:tr w:rsidR="00D30EBC" w:rsidRPr="00840803"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3653B6" w:rsidRPr="00840803" w:rsidRDefault="00840803" w:rsidP="003653B6">
            <w:pPr>
              <w:spacing w:after="200" w:line="276" w:lineRule="auto"/>
              <w:rPr>
                <w:rFonts w:asciiTheme="minorHAnsi" w:hAnsiTheme="minorHAnsi"/>
                <w:b w:val="0"/>
                <w:bCs w:val="0"/>
                <w:color w:val="00B050"/>
              </w:rPr>
            </w:pPr>
            <w:hyperlink r:id="rId11" w:history="1">
              <w:r w:rsidR="003653B6" w:rsidRPr="00840803">
                <w:rPr>
                  <w:rFonts w:asciiTheme="minorHAnsi" w:hAnsiTheme="minorHAnsi"/>
                  <w:b w:val="0"/>
                  <w:bCs w:val="0"/>
                  <w:color w:val="0000FF" w:themeColor="hyperlink"/>
                  <w:u w:val="single"/>
                </w:rPr>
                <w:t>www.maaseutu.fi</w:t>
              </w:r>
            </w:hyperlink>
          </w:p>
          <w:p w:rsidR="00D30EBC" w:rsidRPr="00840803" w:rsidRDefault="00840803" w:rsidP="003653B6">
            <w:pPr>
              <w:rPr>
                <w:rFonts w:asciiTheme="minorHAnsi" w:hAnsiTheme="minorHAnsi"/>
                <w:color w:val="0000FF" w:themeColor="hyperlink"/>
                <w:u w:val="single"/>
              </w:rPr>
            </w:pPr>
            <w:hyperlink r:id="rId12" w:history="1">
              <w:r w:rsidR="003653B6" w:rsidRPr="00840803">
                <w:rPr>
                  <w:rFonts w:asciiTheme="minorHAnsi" w:hAnsiTheme="minorHAnsi"/>
                  <w:b w:val="0"/>
                  <w:bCs w:val="0"/>
                  <w:color w:val="0000FF" w:themeColor="hyperlink"/>
                  <w:u w:val="single"/>
                </w:rPr>
                <w:t>http://www.mavi.fi/fi/tuet-ja-palvelut/hanketoimija/Sivut/maaseudun_hanketuet.aspx</w:t>
              </w:r>
            </w:hyperlink>
          </w:p>
          <w:p w:rsidR="00D8482C" w:rsidRPr="00840803" w:rsidRDefault="00D8482C" w:rsidP="003653B6">
            <w:pPr>
              <w:rPr>
                <w:rFonts w:asciiTheme="minorHAnsi" w:hAnsiTheme="minorHAnsi" w:cs="Arial"/>
                <w:color w:val="00B050"/>
              </w:rPr>
            </w:pPr>
          </w:p>
        </w:tc>
      </w:tr>
    </w:tbl>
    <w:p w:rsidR="00D30EBC" w:rsidRPr="00840803" w:rsidRDefault="00D30EBC" w:rsidP="00D30EBC">
      <w:pPr>
        <w:ind w:hanging="142"/>
        <w:rPr>
          <w:rFonts w:asciiTheme="minorHAnsi" w:hAnsiTheme="minorHAnsi" w:cs="Arial"/>
          <w:sz w:val="28"/>
          <w:szCs w:val="28"/>
        </w:rPr>
      </w:pPr>
    </w:p>
    <w:sectPr w:rsidR="00D30EBC" w:rsidRPr="00840803"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05C"/>
    <w:multiLevelType w:val="hybridMultilevel"/>
    <w:tmpl w:val="FE303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34016CE"/>
    <w:multiLevelType w:val="hybridMultilevel"/>
    <w:tmpl w:val="3544CF42"/>
    <w:lvl w:ilvl="0" w:tplc="90660DDC">
      <w:numFmt w:val="bullet"/>
      <w:lvlText w:val=""/>
      <w:lvlJc w:val="left"/>
      <w:pPr>
        <w:ind w:left="720" w:hanging="360"/>
      </w:pPr>
      <w:rPr>
        <w:rFonts w:ascii="SymbolMT" w:eastAsiaTheme="minorHAnsi" w:hAnsi="SymbolMT" w:cs="Symbo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503DC"/>
    <w:rsid w:val="00086CF5"/>
    <w:rsid w:val="001146F4"/>
    <w:rsid w:val="00146AF3"/>
    <w:rsid w:val="001B1436"/>
    <w:rsid w:val="001C0D73"/>
    <w:rsid w:val="00242B41"/>
    <w:rsid w:val="00244290"/>
    <w:rsid w:val="00250DBA"/>
    <w:rsid w:val="002E3B9E"/>
    <w:rsid w:val="002E6C11"/>
    <w:rsid w:val="002F4DF4"/>
    <w:rsid w:val="003506CB"/>
    <w:rsid w:val="003653B6"/>
    <w:rsid w:val="00443889"/>
    <w:rsid w:val="00454D4B"/>
    <w:rsid w:val="00481FA1"/>
    <w:rsid w:val="00526CCB"/>
    <w:rsid w:val="005916D2"/>
    <w:rsid w:val="0065057C"/>
    <w:rsid w:val="006861E3"/>
    <w:rsid w:val="006909A1"/>
    <w:rsid w:val="006A1AD0"/>
    <w:rsid w:val="006B0096"/>
    <w:rsid w:val="00703ABE"/>
    <w:rsid w:val="00716444"/>
    <w:rsid w:val="0074332C"/>
    <w:rsid w:val="00840803"/>
    <w:rsid w:val="008E345F"/>
    <w:rsid w:val="00B10AFE"/>
    <w:rsid w:val="00BA1E92"/>
    <w:rsid w:val="00BC025B"/>
    <w:rsid w:val="00BF5143"/>
    <w:rsid w:val="00CB40E2"/>
    <w:rsid w:val="00D30DC1"/>
    <w:rsid w:val="00D30EBC"/>
    <w:rsid w:val="00D772AC"/>
    <w:rsid w:val="00D8482C"/>
    <w:rsid w:val="00D9242B"/>
    <w:rsid w:val="00DA4E27"/>
    <w:rsid w:val="00E30CF9"/>
    <w:rsid w:val="00F27736"/>
    <w:rsid w:val="00F85C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454D4B"/>
    <w:rPr>
      <w:color w:val="0000FF" w:themeColor="hyperlink"/>
      <w:u w:val="single"/>
    </w:rPr>
  </w:style>
  <w:style w:type="paragraph" w:styleId="Luettelokappale">
    <w:name w:val="List Paragraph"/>
    <w:basedOn w:val="Normaali"/>
    <w:uiPriority w:val="34"/>
    <w:qFormat/>
    <w:rsid w:val="00242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454D4B"/>
    <w:rPr>
      <w:color w:val="0000FF" w:themeColor="hyperlink"/>
      <w:u w:val="single"/>
    </w:rPr>
  </w:style>
  <w:style w:type="paragraph" w:styleId="Luettelokappale">
    <w:name w:val="List Paragraph"/>
    <w:basedOn w:val="Normaali"/>
    <w:uiPriority w:val="34"/>
    <w:qFormat/>
    <w:rsid w:val="00242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hyperlink" Target="http://www.mavi.fi/fi/tuet-ja-palvelut/hanketoimija/Sivut/maaseudun_hanketu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35F15-EC09-4D40-802F-C5A1514E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3135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A016729</dc:creator>
  <cp:lastModifiedBy>selkaima</cp:lastModifiedBy>
  <cp:revision>3</cp:revision>
  <dcterms:created xsi:type="dcterms:W3CDTF">2015-07-02T13:27:00Z</dcterms:created>
  <dcterms:modified xsi:type="dcterms:W3CDTF">2017-10-05T16:09:00Z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-1977452235</vt:i4>
  </property>
  <property fmtid="{D5CDD505-2E9C-101B-9397-08002B2CF9AE}" pid="3" name="_NewReviewCycle">
    <vt:lpwstr/>
  </property>
  <property fmtid="{D5CDD505-2E9C-101B-9397-08002B2CF9AE}" pid="4" name="_EmailSubject">
    <vt:lpwstr>Kehittämishanketukien tietosivut</vt:lpwstr>
  </property>
  <property fmtid="{D5CDD505-2E9C-101B-9397-08002B2CF9AE}" pid="5" name="_AuthorEmail">
    <vt:lpwstr>Noora.Hakola@mavi.fi</vt:lpwstr>
  </property>
  <property fmtid="{D5CDD505-2E9C-101B-9397-08002B2CF9AE}" pid="6" name="_AuthorEmailDisplayName">
    <vt:lpwstr>Hakola Noora</vt:lpwstr>
  </property>
  <property fmtid="{D5CDD505-2E9C-101B-9397-08002B2CF9AE}" pid="7" name="_ReviewingToolsShownOnce">
    <vt:lpwstr/>
  </property>
</Properties>
</file>