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E33647" w:rsidRDefault="007B42A1" w:rsidP="00D30EBC">
      <w:pPr>
        <w:ind w:hanging="142"/>
        <w:rPr>
          <w:rFonts w:asciiTheme="minorHAnsi" w:hAnsiTheme="minorHAnsi" w:cs="Arial"/>
          <w:color w:val="00B050"/>
          <w:sz w:val="22"/>
          <w:szCs w:val="28"/>
          <w:u w:val="single"/>
        </w:rPr>
      </w:pPr>
      <w:r w:rsidRPr="00E33647">
        <w:rPr>
          <w:rFonts w:asciiTheme="minorHAnsi" w:hAnsiTheme="minorHAnsi" w:cs="Arial"/>
          <w:sz w:val="28"/>
          <w:szCs w:val="28"/>
        </w:rPr>
        <w:t>T</w:t>
      </w:r>
      <w:r w:rsidR="00664840" w:rsidRPr="00E33647">
        <w:rPr>
          <w:rFonts w:asciiTheme="minorHAnsi" w:hAnsiTheme="minorHAnsi" w:cs="Arial"/>
          <w:sz w:val="28"/>
          <w:szCs w:val="28"/>
        </w:rPr>
        <w:t>iedonvälitys</w:t>
      </w:r>
      <w:r w:rsidR="00D30EBC" w:rsidRPr="00E33647">
        <w:rPr>
          <w:rFonts w:asciiTheme="minorHAnsi" w:hAnsiTheme="minorHAnsi" w:cs="Arial"/>
          <w:sz w:val="28"/>
          <w:szCs w:val="28"/>
        </w:rPr>
        <w:t xml:space="preserve"> </w:t>
      </w:r>
      <w:r w:rsidRPr="00E33647">
        <w:rPr>
          <w:rFonts w:asciiTheme="minorHAnsi" w:hAnsiTheme="minorHAnsi" w:cs="Arial"/>
          <w:sz w:val="28"/>
          <w:szCs w:val="28"/>
        </w:rPr>
        <w:t>M01</w:t>
      </w:r>
    </w:p>
    <w:p w:rsidR="00DA4E27" w:rsidRPr="00E33647" w:rsidRDefault="00DA4E27" w:rsidP="00DA4E27">
      <w:pPr>
        <w:rPr>
          <w:rFonts w:asciiTheme="minorHAnsi" w:hAnsiTheme="minorHAnsi" w:cs="Arial"/>
          <w:sz w:val="22"/>
        </w:rPr>
      </w:pP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E33647" w:rsidTr="00D30EB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F9306A" w:rsidRPr="00E33647" w:rsidRDefault="00F9306A" w:rsidP="007B42A1">
            <w:pPr>
              <w:rPr>
                <w:rFonts w:asciiTheme="minorHAnsi" w:eastAsia="Times New Roman" w:hAnsiTheme="minorHAnsi"/>
                <w:szCs w:val="24"/>
                <w:lang w:eastAsia="fi-FI"/>
              </w:rPr>
            </w:pPr>
          </w:p>
          <w:p w:rsidR="00D30EBC" w:rsidRPr="00E33647" w:rsidRDefault="007B42A1" w:rsidP="007B42A1">
            <w:pPr>
              <w:rPr>
                <w:rFonts w:asciiTheme="minorHAnsi" w:hAnsiTheme="minorHAnsi" w:cs="Arial"/>
                <w:b w:val="0"/>
                <w:szCs w:val="28"/>
              </w:rPr>
            </w:pPr>
            <w:r w:rsidRPr="00E33647">
              <w:rPr>
                <w:rFonts w:asciiTheme="minorHAnsi" w:eastAsia="Times New Roman" w:hAnsiTheme="minorHAnsi"/>
                <w:szCs w:val="24"/>
                <w:lang w:eastAsia="fi-FI"/>
              </w:rPr>
              <w:t>Tuki esittely- ja tiedotustoimintaan</w:t>
            </w:r>
            <w:r w:rsidRPr="00E33647">
              <w:rPr>
                <w:rFonts w:asciiTheme="minorHAnsi" w:hAnsiTheme="minorHAnsi" w:cs="Arial"/>
                <w:b w:val="0"/>
                <w:sz w:val="20"/>
                <w:szCs w:val="28"/>
              </w:rPr>
              <w:t xml:space="preserve"> (koodi 1.2)</w:t>
            </w:r>
          </w:p>
        </w:tc>
      </w:tr>
      <w:tr w:rsidR="00D30EBC" w:rsidRPr="00E33647" w:rsidTr="00D30EB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C3DA7" w:rsidRPr="00E33647" w:rsidRDefault="00D30EBC" w:rsidP="00BC3DA7">
            <w:pPr>
              <w:spacing w:after="240"/>
              <w:rPr>
                <w:rFonts w:asciiTheme="minorHAnsi" w:hAnsiTheme="minorHAnsi" w:cs="Arial"/>
                <w:szCs w:val="28"/>
              </w:rPr>
            </w:pPr>
            <w:r w:rsidRPr="00E33647">
              <w:rPr>
                <w:rFonts w:asciiTheme="minorHAnsi" w:hAnsiTheme="minorHAnsi" w:cs="Arial"/>
                <w:szCs w:val="28"/>
              </w:rPr>
              <w:t xml:space="preserve">Kuvaus: </w:t>
            </w:r>
          </w:p>
          <w:p w:rsidR="00BC3DA7" w:rsidRPr="00E33647" w:rsidRDefault="007B42A1" w:rsidP="00BC3DA7">
            <w:pPr>
              <w:spacing w:after="240"/>
              <w:rPr>
                <w:rFonts w:asciiTheme="minorHAnsi" w:eastAsia="Times New Roman" w:hAnsiTheme="minorHAnsi"/>
                <w:b w:val="0"/>
                <w:sz w:val="22"/>
                <w:lang w:eastAsia="fi-FI"/>
              </w:rPr>
            </w:pPr>
            <w:r w:rsidRPr="00E33647">
              <w:rPr>
                <w:rFonts w:asciiTheme="minorHAnsi" w:hAnsiTheme="minorHAnsi" w:cs="Arial"/>
                <w:b w:val="0"/>
                <w:sz w:val="22"/>
              </w:rPr>
              <w:t>T</w:t>
            </w:r>
            <w:r w:rsidRPr="00E33647">
              <w:rPr>
                <w:rFonts w:asciiTheme="minorHAnsi" w:eastAsia="Times New Roman" w:hAnsiTheme="minorHAnsi"/>
                <w:b w:val="0"/>
                <w:sz w:val="22"/>
                <w:lang w:eastAsia="fi-FI"/>
              </w:rPr>
              <w:t xml:space="preserve">iedonvälitystoimien avulla lisätään maaseutuyrittäjien ja viljelijöiden tietämystä ja osaamista </w:t>
            </w:r>
            <w:r w:rsidR="00F9306A" w:rsidRPr="00E33647">
              <w:rPr>
                <w:rFonts w:asciiTheme="minorHAnsi" w:eastAsia="Times New Roman" w:hAnsiTheme="minorHAnsi"/>
                <w:b w:val="0"/>
                <w:sz w:val="22"/>
                <w:lang w:eastAsia="fi-FI"/>
              </w:rPr>
              <w:t xml:space="preserve">elinkeinojen ja toimialojen uusista tuulista, </w:t>
            </w:r>
            <w:r w:rsidRPr="00E33647">
              <w:rPr>
                <w:rFonts w:asciiTheme="minorHAnsi" w:eastAsia="Times New Roman" w:hAnsiTheme="minorHAnsi"/>
                <w:b w:val="0"/>
                <w:sz w:val="22"/>
                <w:lang w:eastAsia="fi-FI"/>
              </w:rPr>
              <w:t xml:space="preserve">ilmasto- ja ympäristökysymyksissä sekä kasvatetaan uusiutuvan energian tuotantoon ja käyttöön sekä energiansäästöön liittyvää tietoisuutta. </w:t>
            </w:r>
            <w:r w:rsidR="00BC3DA7" w:rsidRPr="00E33647">
              <w:rPr>
                <w:rFonts w:asciiTheme="minorHAnsi" w:eastAsia="Times New Roman" w:hAnsiTheme="minorHAnsi"/>
                <w:b w:val="0"/>
                <w:sz w:val="22"/>
                <w:lang w:eastAsia="fi-FI"/>
              </w:rPr>
              <w:t xml:space="preserve">Tiedonvälityshankkeena voidaan tukea sellaista toimintaa, jossa välitetään tietoa uusista tuotanto-, markkinointi- tai palvelumenetelmistä tai muista liiketoiminnan parantamista koskevista menetelmistä tai jossa välitetään tietoa esimerkiksi energia- tai ympäristöasioista tai tietoa muista maaseudun elinvoimaisuuden kannalta olennaisista kysymyksistä yrityksille tai muille maaseudun toimijoille ja asukkaille. </w:t>
            </w:r>
          </w:p>
          <w:p w:rsidR="00BC3DA7" w:rsidRPr="00E33647" w:rsidRDefault="008C7650" w:rsidP="00BC3DA7">
            <w:pPr>
              <w:spacing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Tiedonvälitystoimin</w:t>
            </w:r>
            <w:r w:rsidR="007B42A1" w:rsidRPr="00E33647">
              <w:rPr>
                <w:rFonts w:asciiTheme="minorHAnsi" w:eastAsia="Times New Roman" w:hAnsiTheme="minorHAnsi"/>
                <w:b w:val="0"/>
                <w:sz w:val="22"/>
                <w:lang w:eastAsia="fi-FI"/>
              </w:rPr>
              <w:t xml:space="preserve"> lisätään yrittäjien ja maaseudun asukkaiden osaamista uusien </w:t>
            </w:r>
            <w:r w:rsidRPr="00E33647">
              <w:rPr>
                <w:rFonts w:asciiTheme="minorHAnsi" w:eastAsia="Times New Roman" w:hAnsiTheme="minorHAnsi"/>
                <w:b w:val="0"/>
                <w:sz w:val="22"/>
                <w:lang w:eastAsia="fi-FI"/>
              </w:rPr>
              <w:t xml:space="preserve">innovatiivisten </w:t>
            </w:r>
            <w:r w:rsidR="007B42A1" w:rsidRPr="00E33647">
              <w:rPr>
                <w:rFonts w:asciiTheme="minorHAnsi" w:eastAsia="Times New Roman" w:hAnsiTheme="minorHAnsi"/>
                <w:b w:val="0"/>
                <w:sz w:val="22"/>
                <w:lang w:eastAsia="fi-FI"/>
              </w:rPr>
              <w:t xml:space="preserve">ratkaisujen ja toimintamallien kehittämiseksi </w:t>
            </w:r>
            <w:r w:rsidRPr="00E33647">
              <w:rPr>
                <w:rFonts w:asciiTheme="minorHAnsi" w:eastAsia="Times New Roman" w:hAnsiTheme="minorHAnsi"/>
                <w:b w:val="0"/>
                <w:sz w:val="22"/>
                <w:lang w:eastAsia="fi-FI"/>
              </w:rPr>
              <w:t xml:space="preserve">esimerkiksi maaseudun palveluihin, </w:t>
            </w:r>
            <w:proofErr w:type="spellStart"/>
            <w:r w:rsidRPr="00E33647">
              <w:rPr>
                <w:rFonts w:asciiTheme="minorHAnsi" w:eastAsia="Times New Roman" w:hAnsiTheme="minorHAnsi"/>
                <w:b w:val="0"/>
                <w:sz w:val="22"/>
                <w:lang w:eastAsia="fi-FI"/>
              </w:rPr>
              <w:t>digitalisaatioon</w:t>
            </w:r>
            <w:proofErr w:type="spellEnd"/>
            <w:r w:rsidRPr="00E33647">
              <w:rPr>
                <w:rFonts w:asciiTheme="minorHAnsi" w:eastAsia="Times New Roman" w:hAnsiTheme="minorHAnsi"/>
                <w:b w:val="0"/>
                <w:sz w:val="22"/>
                <w:lang w:eastAsia="fi-FI"/>
              </w:rPr>
              <w:t xml:space="preserve">, vesienhoitoon, luonnon monimuotoisuuteen ja ilmastonmuutoksen hillintään ja siihen sopeutumiseen liittyen. Uusimman tutkimustiedon välittämisen kautta mahdollistetaan innovaatioiden käyttöönottoa ja parannetaan energiatehokkuutta. </w:t>
            </w:r>
            <w:r w:rsidR="00BC3DA7" w:rsidRPr="00E33647">
              <w:rPr>
                <w:rFonts w:asciiTheme="minorHAnsi" w:eastAsia="Times New Roman" w:hAnsiTheme="minorHAnsi"/>
                <w:b w:val="0"/>
                <w:sz w:val="22"/>
                <w:lang w:eastAsia="fi-FI"/>
              </w:rPr>
              <w:t xml:space="preserve">Tiedonvälitystoimin helpotetaan tieteellisen tiedon, innovaatioiden ja muun osaamisen saattamista toimijoiden käyttöön. </w:t>
            </w:r>
          </w:p>
          <w:p w:rsidR="007B42A1" w:rsidRPr="00E33647" w:rsidRDefault="007B42A1" w:rsidP="007B42A1">
            <w:pPr>
              <w:spacing w:before="240"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Tiedonvälitystoimien kohderyhmänä ovat maa- ja metsätalous- sekä elintarvikealoilla toimivat henkilöt sekä maaseutualueilla toimivat pien</w:t>
            </w:r>
            <w:r w:rsidR="00F9306A" w:rsidRPr="00E33647">
              <w:rPr>
                <w:rFonts w:asciiTheme="minorHAnsi" w:eastAsia="Times New Roman" w:hAnsiTheme="minorHAnsi"/>
                <w:b w:val="0"/>
                <w:sz w:val="22"/>
                <w:lang w:eastAsia="fi-FI"/>
              </w:rPr>
              <w:t>yritykset ja yhdistykset sekä</w:t>
            </w:r>
            <w:r w:rsidRPr="00E33647">
              <w:rPr>
                <w:rFonts w:asciiTheme="minorHAnsi" w:eastAsia="Times New Roman" w:hAnsiTheme="minorHAnsi"/>
                <w:b w:val="0"/>
                <w:sz w:val="22"/>
                <w:lang w:eastAsia="fi-FI"/>
              </w:rPr>
              <w:t xml:space="preserve"> maaseudun asukkaat.</w:t>
            </w:r>
          </w:p>
          <w:p w:rsidR="00D30EBC" w:rsidRPr="00E33647" w:rsidRDefault="00D30EBC" w:rsidP="007B42A1">
            <w:pPr>
              <w:rPr>
                <w:rFonts w:asciiTheme="minorHAnsi" w:hAnsiTheme="minorHAnsi" w:cs="Arial"/>
                <w:sz w:val="28"/>
                <w:szCs w:val="28"/>
              </w:rPr>
            </w:pPr>
          </w:p>
        </w:tc>
      </w:tr>
      <w:tr w:rsidR="00D30EBC" w:rsidRPr="00E33647" w:rsidTr="00D30EB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E33647" w:rsidRDefault="00D30DC1" w:rsidP="00D30DC1">
            <w:pPr>
              <w:rPr>
                <w:rFonts w:asciiTheme="minorHAnsi" w:hAnsiTheme="minorHAnsi" w:cs="Arial"/>
                <w:szCs w:val="28"/>
              </w:rPr>
            </w:pPr>
            <w:r w:rsidRPr="00E33647">
              <w:rPr>
                <w:rFonts w:asciiTheme="minorHAnsi" w:hAnsiTheme="minorHAnsi" w:cs="Arial"/>
                <w:szCs w:val="28"/>
              </w:rPr>
              <w:t>Mitä:</w:t>
            </w:r>
            <w:r w:rsidR="00D30EBC" w:rsidRPr="00E33647">
              <w:rPr>
                <w:rFonts w:asciiTheme="minorHAnsi" w:hAnsiTheme="minorHAnsi" w:cs="Arial"/>
                <w:szCs w:val="28"/>
              </w:rPr>
              <w:t xml:space="preserve"> </w:t>
            </w:r>
          </w:p>
          <w:p w:rsidR="00D30DC1" w:rsidRPr="00E33647" w:rsidRDefault="005C7A60" w:rsidP="00F9306A">
            <w:pPr>
              <w:spacing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Tiedonvälityshankkeeseen voi sisältyä mm. esittelytoimintaa, työpajoja ja valmennusta ryhmille. Tiedonvälityshankkeisiin voi sisältyä esim. näyttely- ja esittelytoimintaa / demonstraatiota ja erilaisten esitteiden ja infosivujen tuottamista, verkkotiedotusta, tilaisuuksia ja esitteitä. Esittelyhankkeissa (demonstraatio) voidaan myös toteuttaa tarkoituksenmukaisia yleishyödyllisiä investointeja.</w:t>
            </w:r>
          </w:p>
          <w:p w:rsidR="00BC3DA7" w:rsidRPr="00E33647" w:rsidRDefault="00BC3DA7" w:rsidP="00BC3DA7">
            <w:pPr>
              <w:spacing w:after="240"/>
              <w:rPr>
                <w:rFonts w:asciiTheme="minorHAnsi" w:eastAsia="Times New Roman" w:hAnsiTheme="minorHAnsi"/>
                <w:b w:val="0"/>
                <w:sz w:val="22"/>
              </w:rPr>
            </w:pPr>
            <w:r w:rsidRPr="00E33647">
              <w:rPr>
                <w:rFonts w:asciiTheme="minorHAnsi" w:eastAsia="Times New Roman" w:hAnsiTheme="minorHAnsi"/>
                <w:b w:val="0"/>
                <w:sz w:val="22"/>
              </w:rPr>
              <w:t>Tuki voi kattaa hankkeisiin liittyvät pienhankinnat. Esittelyhankkeissa (demonstraatio) myös tarpeelliset kohtuulliset investoinnit ovat tukikelpoisia asetuksen 1305/2013 artiklan 45 mukaisesti.</w:t>
            </w:r>
          </w:p>
          <w:p w:rsidR="00BC3DA7" w:rsidRPr="00E33647" w:rsidRDefault="00BC3DA7" w:rsidP="00BC3DA7">
            <w:pPr>
              <w:spacing w:before="240" w:after="240"/>
              <w:rPr>
                <w:rFonts w:asciiTheme="minorHAnsi" w:eastAsia="Times New Roman" w:hAnsiTheme="minorHAnsi"/>
                <w:b w:val="0"/>
                <w:sz w:val="22"/>
              </w:rPr>
            </w:pPr>
            <w:r w:rsidRPr="00E33647">
              <w:rPr>
                <w:rFonts w:asciiTheme="minorHAnsi" w:eastAsia="Times New Roman" w:hAnsiTheme="minorHAnsi"/>
                <w:b w:val="0"/>
                <w:sz w:val="22"/>
              </w:rPr>
              <w:t>Tukea voidaan myöntää seuraaviin kehittämishankkeen toteuttamisesta aiheutuviin kohtuullisiin kustannuksiin:</w:t>
            </w:r>
          </w:p>
          <w:p w:rsidR="00BC3DA7" w:rsidRPr="00E33647" w:rsidRDefault="00BC3DA7" w:rsidP="00BC3DA7">
            <w:pPr>
              <w:numPr>
                <w:ilvl w:val="0"/>
                <w:numId w:val="3"/>
              </w:numPr>
              <w:spacing w:before="240"/>
              <w:ind w:hanging="210"/>
              <w:jc w:val="both"/>
              <w:rPr>
                <w:rFonts w:asciiTheme="minorHAnsi" w:eastAsia="Times New Roman" w:hAnsiTheme="minorHAnsi"/>
                <w:b w:val="0"/>
                <w:sz w:val="22"/>
                <w:lang w:val="en-GB"/>
              </w:rPr>
            </w:pPr>
            <w:proofErr w:type="spellStart"/>
            <w:r w:rsidRPr="00E33647">
              <w:rPr>
                <w:rFonts w:asciiTheme="minorHAnsi" w:eastAsia="Times New Roman" w:hAnsiTheme="minorHAnsi"/>
                <w:b w:val="0"/>
                <w:sz w:val="22"/>
                <w:lang w:val="en-GB"/>
              </w:rPr>
              <w:t>palkka</w:t>
            </w:r>
            <w:proofErr w:type="spellEnd"/>
            <w:r w:rsidRPr="00E33647">
              <w:rPr>
                <w:rFonts w:asciiTheme="minorHAnsi" w:eastAsia="Times New Roman" w:hAnsiTheme="minorHAnsi"/>
                <w:b w:val="0"/>
                <w:sz w:val="22"/>
                <w:lang w:val="en-GB"/>
              </w:rPr>
              <w:t xml:space="preserve">- </w:t>
            </w:r>
            <w:proofErr w:type="spellStart"/>
            <w:r w:rsidRPr="00E33647">
              <w:rPr>
                <w:rFonts w:asciiTheme="minorHAnsi" w:eastAsia="Times New Roman" w:hAnsiTheme="minorHAnsi"/>
                <w:b w:val="0"/>
                <w:sz w:val="22"/>
                <w:lang w:val="en-GB"/>
              </w:rPr>
              <w:t>ja</w:t>
            </w:r>
            <w:proofErr w:type="spellEnd"/>
            <w:r w:rsidRPr="00E33647">
              <w:rPr>
                <w:rFonts w:asciiTheme="minorHAnsi" w:eastAsia="Times New Roman" w:hAnsiTheme="minorHAnsi"/>
                <w:b w:val="0"/>
                <w:sz w:val="22"/>
                <w:lang w:val="en-GB"/>
              </w:rPr>
              <w:t xml:space="preserve"> </w:t>
            </w:r>
            <w:proofErr w:type="spellStart"/>
            <w:r w:rsidRPr="00E33647">
              <w:rPr>
                <w:rFonts w:asciiTheme="minorHAnsi" w:eastAsia="Times New Roman" w:hAnsiTheme="minorHAnsi"/>
                <w:b w:val="0"/>
                <w:sz w:val="22"/>
                <w:lang w:val="en-GB"/>
              </w:rPr>
              <w:t>palkkiokustannuksiin</w:t>
            </w:r>
            <w:proofErr w:type="spellEnd"/>
            <w:r w:rsidRPr="00E33647">
              <w:rPr>
                <w:rFonts w:asciiTheme="minorHAnsi" w:eastAsia="Times New Roman" w:hAnsiTheme="minorHAnsi"/>
                <w:b w:val="0"/>
                <w:sz w:val="22"/>
                <w:lang w:val="en-GB"/>
              </w:rPr>
              <w:t>;</w:t>
            </w:r>
          </w:p>
          <w:p w:rsidR="00BC3DA7" w:rsidRPr="00E33647" w:rsidRDefault="00BC3DA7" w:rsidP="00BC3DA7">
            <w:pPr>
              <w:numPr>
                <w:ilvl w:val="0"/>
                <w:numId w:val="3"/>
              </w:numPr>
              <w:spacing w:before="120"/>
              <w:ind w:hanging="210"/>
              <w:jc w:val="both"/>
              <w:rPr>
                <w:rFonts w:asciiTheme="minorHAnsi" w:eastAsia="Times New Roman" w:hAnsiTheme="minorHAnsi"/>
                <w:b w:val="0"/>
                <w:sz w:val="22"/>
                <w:lang w:val="en-GB"/>
              </w:rPr>
            </w:pPr>
            <w:proofErr w:type="spellStart"/>
            <w:r w:rsidRPr="00E33647">
              <w:rPr>
                <w:rFonts w:asciiTheme="minorHAnsi" w:eastAsia="Times New Roman" w:hAnsiTheme="minorHAnsi"/>
                <w:b w:val="0"/>
                <w:sz w:val="22"/>
                <w:lang w:val="en-GB"/>
              </w:rPr>
              <w:t>matkakustannuksiin</w:t>
            </w:r>
            <w:proofErr w:type="spellEnd"/>
            <w:r w:rsidRPr="00E33647">
              <w:rPr>
                <w:rFonts w:asciiTheme="minorHAnsi" w:eastAsia="Times New Roman" w:hAnsiTheme="minorHAnsi"/>
                <w:b w:val="0"/>
                <w:sz w:val="22"/>
                <w:lang w:val="en-GB"/>
              </w:rPr>
              <w:t>;</w:t>
            </w:r>
          </w:p>
          <w:p w:rsidR="00BC3DA7" w:rsidRPr="00E33647" w:rsidRDefault="00BC3DA7" w:rsidP="00BC3DA7">
            <w:pPr>
              <w:numPr>
                <w:ilvl w:val="0"/>
                <w:numId w:val="3"/>
              </w:numPr>
              <w:spacing w:before="120"/>
              <w:ind w:hanging="210"/>
              <w:jc w:val="both"/>
              <w:rPr>
                <w:rFonts w:asciiTheme="minorHAnsi" w:eastAsia="Times New Roman" w:hAnsiTheme="minorHAnsi"/>
                <w:b w:val="0"/>
                <w:sz w:val="22"/>
                <w:lang w:val="en-GB"/>
              </w:rPr>
            </w:pPr>
            <w:proofErr w:type="spellStart"/>
            <w:r w:rsidRPr="00E33647">
              <w:rPr>
                <w:rFonts w:asciiTheme="minorHAnsi" w:eastAsia="Times New Roman" w:hAnsiTheme="minorHAnsi"/>
                <w:b w:val="0"/>
                <w:sz w:val="22"/>
                <w:lang w:val="en-GB"/>
              </w:rPr>
              <w:t>ostopalveluiden</w:t>
            </w:r>
            <w:proofErr w:type="spellEnd"/>
            <w:r w:rsidRPr="00E33647">
              <w:rPr>
                <w:rFonts w:asciiTheme="minorHAnsi" w:eastAsia="Times New Roman" w:hAnsiTheme="minorHAnsi"/>
                <w:b w:val="0"/>
                <w:sz w:val="22"/>
                <w:lang w:val="en-GB"/>
              </w:rPr>
              <w:t xml:space="preserve"> </w:t>
            </w:r>
            <w:proofErr w:type="spellStart"/>
            <w:r w:rsidRPr="00E33647">
              <w:rPr>
                <w:rFonts w:asciiTheme="minorHAnsi" w:eastAsia="Times New Roman" w:hAnsiTheme="minorHAnsi"/>
                <w:b w:val="0"/>
                <w:sz w:val="22"/>
                <w:lang w:val="en-GB"/>
              </w:rPr>
              <w:t>hankintaan</w:t>
            </w:r>
            <w:proofErr w:type="spellEnd"/>
            <w:r w:rsidRPr="00E33647">
              <w:rPr>
                <w:rFonts w:asciiTheme="minorHAnsi" w:eastAsia="Times New Roman" w:hAnsiTheme="minorHAnsi"/>
                <w:b w:val="0"/>
                <w:sz w:val="22"/>
                <w:lang w:val="en-GB"/>
              </w:rPr>
              <w:t>;</w:t>
            </w:r>
          </w:p>
          <w:p w:rsidR="00BC3DA7" w:rsidRPr="00E33647" w:rsidRDefault="00BC3DA7" w:rsidP="00BC3DA7">
            <w:pPr>
              <w:numPr>
                <w:ilvl w:val="0"/>
                <w:numId w:val="3"/>
              </w:numPr>
              <w:spacing w:before="120"/>
              <w:ind w:hanging="210"/>
              <w:jc w:val="both"/>
              <w:rPr>
                <w:rFonts w:asciiTheme="minorHAnsi" w:eastAsia="Times New Roman" w:hAnsiTheme="minorHAnsi"/>
                <w:b w:val="0"/>
                <w:sz w:val="22"/>
                <w:lang w:val="en-GB"/>
              </w:rPr>
            </w:pPr>
            <w:proofErr w:type="spellStart"/>
            <w:r w:rsidRPr="00E33647">
              <w:rPr>
                <w:rFonts w:asciiTheme="minorHAnsi" w:eastAsia="Times New Roman" w:hAnsiTheme="minorHAnsi"/>
                <w:b w:val="0"/>
                <w:sz w:val="22"/>
                <w:lang w:val="en-GB"/>
              </w:rPr>
              <w:t>vuokrakustannuksiin</w:t>
            </w:r>
            <w:proofErr w:type="spellEnd"/>
            <w:r w:rsidRPr="00E33647">
              <w:rPr>
                <w:rFonts w:asciiTheme="minorHAnsi" w:eastAsia="Times New Roman" w:hAnsiTheme="minorHAnsi"/>
                <w:b w:val="0"/>
                <w:sz w:val="22"/>
                <w:lang w:val="en-GB"/>
              </w:rPr>
              <w:t>;</w:t>
            </w:r>
          </w:p>
          <w:p w:rsidR="00BC3DA7" w:rsidRPr="00E33647" w:rsidRDefault="00BC3DA7" w:rsidP="00BC3DA7">
            <w:pPr>
              <w:numPr>
                <w:ilvl w:val="0"/>
                <w:numId w:val="3"/>
              </w:numPr>
              <w:spacing w:before="120" w:after="240"/>
              <w:ind w:hanging="210"/>
              <w:jc w:val="both"/>
              <w:rPr>
                <w:rFonts w:asciiTheme="minorHAnsi" w:eastAsia="Times New Roman" w:hAnsiTheme="minorHAnsi"/>
                <w:b w:val="0"/>
                <w:sz w:val="22"/>
              </w:rPr>
            </w:pPr>
            <w:r w:rsidRPr="00E33647">
              <w:rPr>
                <w:rFonts w:asciiTheme="minorHAnsi" w:eastAsia="Times New Roman" w:hAnsiTheme="minorHAnsi"/>
                <w:b w:val="0"/>
                <w:sz w:val="22"/>
              </w:rPr>
              <w:t>materiaali- ja muihin toteutuksen kannalta välttämättömiin kustannuksiin</w:t>
            </w:r>
          </w:p>
          <w:p w:rsidR="00BC3DA7" w:rsidRPr="00E33647" w:rsidRDefault="00BC3DA7" w:rsidP="00BC3DA7">
            <w:pPr>
              <w:spacing w:after="240"/>
              <w:rPr>
                <w:rFonts w:asciiTheme="minorHAnsi" w:hAnsiTheme="minorHAnsi" w:cs="Arial"/>
                <w:sz w:val="28"/>
                <w:szCs w:val="28"/>
              </w:rPr>
            </w:pPr>
            <w:r w:rsidRPr="00E33647">
              <w:rPr>
                <w:rFonts w:asciiTheme="minorHAnsi" w:eastAsia="Times New Roman" w:hAnsiTheme="minorHAnsi"/>
                <w:b w:val="0"/>
                <w:sz w:val="22"/>
              </w:rPr>
              <w:t>Tuki voidaan myöntää välillisten yleiskustannusten osalta prosenttimääräisenä korvauksena</w:t>
            </w:r>
          </w:p>
        </w:tc>
      </w:tr>
      <w:tr w:rsidR="00D30EBC" w:rsidRPr="00E33647"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40F60" w:rsidRPr="00E33647" w:rsidRDefault="00D30EBC" w:rsidP="005C7A60">
            <w:pPr>
              <w:rPr>
                <w:rFonts w:asciiTheme="minorHAnsi" w:eastAsia="Times New Roman" w:hAnsiTheme="minorHAnsi"/>
                <w:b w:val="0"/>
                <w:szCs w:val="24"/>
                <w:lang w:eastAsia="fi-FI"/>
              </w:rPr>
            </w:pPr>
            <w:r w:rsidRPr="00E33647">
              <w:rPr>
                <w:rFonts w:asciiTheme="minorHAnsi" w:hAnsiTheme="minorHAnsi" w:cs="Arial"/>
                <w:szCs w:val="28"/>
              </w:rPr>
              <w:lastRenderedPageBreak/>
              <w:t>Kenelle</w:t>
            </w:r>
            <w:r w:rsidRPr="00E33647">
              <w:rPr>
                <w:rFonts w:asciiTheme="minorHAnsi" w:hAnsiTheme="minorHAnsi" w:cs="Arial"/>
                <w:b w:val="0"/>
                <w:szCs w:val="28"/>
              </w:rPr>
              <w:t>:</w:t>
            </w:r>
            <w:r w:rsidR="005C7A60" w:rsidRPr="00E33647">
              <w:rPr>
                <w:rFonts w:asciiTheme="minorHAnsi" w:eastAsia="Times New Roman" w:hAnsiTheme="minorHAnsi"/>
                <w:b w:val="0"/>
                <w:szCs w:val="24"/>
                <w:lang w:eastAsia="fi-FI"/>
              </w:rPr>
              <w:t xml:space="preserve"> </w:t>
            </w:r>
          </w:p>
          <w:p w:rsidR="00240F60" w:rsidRPr="00E33647" w:rsidRDefault="00240F60" w:rsidP="005C7A60">
            <w:pPr>
              <w:rPr>
                <w:rFonts w:asciiTheme="minorHAnsi" w:eastAsia="Times New Roman" w:hAnsiTheme="minorHAnsi"/>
                <w:b w:val="0"/>
                <w:szCs w:val="24"/>
                <w:lang w:eastAsia="fi-FI"/>
              </w:rPr>
            </w:pPr>
          </w:p>
          <w:p w:rsidR="00D30EBC" w:rsidRPr="00E33647" w:rsidRDefault="005C7A60" w:rsidP="005C7A60">
            <w:pPr>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Tukea koulutushankkeeseen voivat hakea julkisoikeudelliset ja yksityisoikeudelliset koulutusta tarjoavat yhteisöt, kuten oppilaitokset, kunnat, yhdistykset, järjestöt ja osuuskunnat.</w:t>
            </w:r>
          </w:p>
          <w:p w:rsidR="00240F60" w:rsidRPr="00E33647" w:rsidRDefault="00240F60" w:rsidP="005C7A60">
            <w:pPr>
              <w:rPr>
                <w:rFonts w:asciiTheme="minorHAnsi" w:hAnsiTheme="minorHAnsi" w:cs="Arial"/>
                <w:sz w:val="28"/>
                <w:szCs w:val="28"/>
              </w:rPr>
            </w:pPr>
          </w:p>
        </w:tc>
      </w:tr>
      <w:tr w:rsidR="00D30EBC" w:rsidRPr="00E33647" w:rsidTr="00D30EB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F9306A" w:rsidRPr="00E33647" w:rsidRDefault="005C7A60" w:rsidP="005C7A60">
            <w:pPr>
              <w:spacing w:before="240" w:after="240"/>
              <w:rPr>
                <w:rFonts w:asciiTheme="minorHAnsi" w:hAnsiTheme="minorHAnsi" w:cs="Arial"/>
                <w:szCs w:val="28"/>
              </w:rPr>
            </w:pPr>
            <w:r w:rsidRPr="00E33647">
              <w:rPr>
                <w:rFonts w:asciiTheme="minorHAnsi" w:hAnsiTheme="minorHAnsi" w:cs="Arial"/>
                <w:szCs w:val="28"/>
              </w:rPr>
              <w:t>Tukitaso</w:t>
            </w:r>
            <w:r w:rsidR="00B10AFE" w:rsidRPr="00E33647">
              <w:rPr>
                <w:rFonts w:asciiTheme="minorHAnsi" w:hAnsiTheme="minorHAnsi" w:cs="Arial"/>
                <w:szCs w:val="28"/>
              </w:rPr>
              <w:t xml:space="preserve">: </w:t>
            </w:r>
          </w:p>
          <w:p w:rsidR="005C7A60" w:rsidRPr="00E33647" w:rsidRDefault="00F9306A" w:rsidP="005C7A60">
            <w:pPr>
              <w:spacing w:before="240"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Tiedonvälityshankkeissa</w:t>
            </w:r>
            <w:r w:rsidR="005C7A60" w:rsidRPr="00E33647">
              <w:rPr>
                <w:rFonts w:asciiTheme="minorHAnsi" w:eastAsia="Times New Roman" w:hAnsiTheme="minorHAnsi"/>
                <w:b w:val="0"/>
                <w:sz w:val="22"/>
                <w:lang w:eastAsia="fi-FI"/>
              </w:rPr>
              <w:t xml:space="preserve"> julkisen tuen osuus on 100 % hyväksyttävistä kustannuksista. Tukea myönnetään vain sellaisiin tiedonvälityshankkeisiin, joiden tuki ei ole katsottavissa valtiontueksi.</w:t>
            </w:r>
          </w:p>
          <w:p w:rsidR="005C7A60" w:rsidRPr="00E33647" w:rsidRDefault="005C7A60" w:rsidP="005C7A60">
            <w:pPr>
              <w:spacing w:before="240" w:after="240"/>
              <w:rPr>
                <w:rFonts w:asciiTheme="minorHAnsi" w:eastAsia="Times New Roman" w:hAnsiTheme="minorHAnsi"/>
                <w:sz w:val="22"/>
                <w:lang w:eastAsia="fi-FI"/>
              </w:rPr>
            </w:pPr>
            <w:r w:rsidRPr="00E33647">
              <w:rPr>
                <w:rFonts w:asciiTheme="minorHAnsi" w:eastAsia="Times New Roman" w:hAnsiTheme="minorHAnsi"/>
                <w:b w:val="0"/>
                <w:sz w:val="22"/>
                <w:lang w:eastAsia="fi-FI"/>
              </w:rPr>
              <w:t>Esittelyhankkeiden (demonstraatio) investointeihin julkista tukea voidaan myöntää 60 %</w:t>
            </w:r>
            <w:r w:rsidR="00F9306A" w:rsidRPr="00E33647">
              <w:rPr>
                <w:rFonts w:asciiTheme="minorHAnsi" w:eastAsia="Times New Roman" w:hAnsiTheme="minorHAnsi"/>
                <w:b w:val="0"/>
                <w:sz w:val="22"/>
                <w:lang w:eastAsia="fi-FI"/>
              </w:rPr>
              <w:t xml:space="preserve"> hyväksyttävistä kustannuksista</w:t>
            </w:r>
            <w:r w:rsidRPr="00E33647">
              <w:rPr>
                <w:rFonts w:asciiTheme="minorHAnsi" w:eastAsia="Times New Roman" w:hAnsiTheme="minorHAnsi"/>
                <w:b w:val="0"/>
                <w:sz w:val="22"/>
                <w:lang w:eastAsia="fi-FI"/>
              </w:rPr>
              <w:t>. Jos investoinnin toteuttaja on julkisoikeudellinen yhteisö, julkisen rahoituksen osuus voi olla 100 %, muu julkinen rahoitus mukaan luettuna.</w:t>
            </w:r>
          </w:p>
          <w:p w:rsidR="00D30EBC" w:rsidRPr="00E33647" w:rsidRDefault="00D30EBC" w:rsidP="005C7A60">
            <w:pPr>
              <w:rPr>
                <w:rFonts w:asciiTheme="minorHAnsi" w:hAnsiTheme="minorHAnsi" w:cs="Arial"/>
                <w:sz w:val="28"/>
                <w:szCs w:val="28"/>
              </w:rPr>
            </w:pPr>
          </w:p>
        </w:tc>
      </w:tr>
      <w:tr w:rsidR="00D30EBC" w:rsidRPr="00E33647" w:rsidTr="00D30EB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E33647" w:rsidRDefault="00B10AFE" w:rsidP="00B10AFE">
            <w:pPr>
              <w:rPr>
                <w:rFonts w:asciiTheme="minorHAnsi" w:hAnsiTheme="minorHAnsi" w:cs="Arial"/>
                <w:b w:val="0"/>
                <w:sz w:val="20"/>
              </w:rPr>
            </w:pPr>
          </w:p>
          <w:p w:rsidR="005C7A60" w:rsidRPr="00E33647" w:rsidRDefault="00B10AFE" w:rsidP="005C7A60">
            <w:pPr>
              <w:spacing w:before="240" w:after="240"/>
              <w:rPr>
                <w:rFonts w:asciiTheme="minorHAnsi" w:hAnsiTheme="minorHAnsi" w:cs="Arial"/>
                <w:szCs w:val="28"/>
              </w:rPr>
            </w:pPr>
            <w:r w:rsidRPr="00E33647">
              <w:rPr>
                <w:rFonts w:asciiTheme="minorHAnsi" w:hAnsiTheme="minorHAnsi" w:cs="Arial"/>
                <w:szCs w:val="28"/>
              </w:rPr>
              <w:t xml:space="preserve">Ehdot ja kriteerit: </w:t>
            </w:r>
          </w:p>
          <w:p w:rsidR="005C7A60" w:rsidRPr="00E33647" w:rsidRDefault="005C7A60" w:rsidP="005C7A60">
            <w:pPr>
              <w:spacing w:before="240"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 xml:space="preserve">Tiedonvälitystä koskevalla hankkeella tulee olla hankkeen laatuun nähden ammattitaitoinen toteuttaja. </w:t>
            </w:r>
          </w:p>
          <w:p w:rsidR="005C7A60" w:rsidRPr="00E33647" w:rsidRDefault="005C7A60" w:rsidP="005C7A60">
            <w:pPr>
              <w:spacing w:before="240" w:after="240"/>
              <w:rPr>
                <w:rFonts w:asciiTheme="minorHAnsi" w:eastAsia="Times New Roman" w:hAnsiTheme="minorHAnsi"/>
                <w:b w:val="0"/>
                <w:sz w:val="22"/>
                <w:lang w:eastAsia="fi-FI"/>
              </w:rPr>
            </w:pPr>
            <w:r w:rsidRPr="00E33647">
              <w:rPr>
                <w:rFonts w:asciiTheme="minorHAnsi" w:eastAsia="Times New Roman" w:hAnsiTheme="minorHAnsi"/>
                <w:b w:val="0"/>
                <w:sz w:val="22"/>
                <w:lang w:eastAsia="fi-FI"/>
              </w:rPr>
              <w:t>Tiedonvälityspalveluja tarjoavilla yksiköillä tulee olla tarvittava pätevyys ja henkilöstölle on tarjottava säännöllisesti koulutusta näiden tehtävien hoitamiseen. Tiedotuspalveluja tarjoavan organisaation tulee varmistua pätevästä henkilöstöstä. Henkilöstön riittävä pätevyys voidaan osoittaa käytännön kautta saavutetulla ja/tai osoitetulla ammattipätevyydellä tai soveltuvalla tutkintotodistuksella. Tuensaajien on tarvittaessa voitava osoittaa, että hankkeessa työskentelevillä on hankkeen toteuttamisen kannalta tarvittava koulutus tai osaaminen.</w:t>
            </w:r>
          </w:p>
          <w:p w:rsidR="00DA4E27" w:rsidRPr="00E33647" w:rsidRDefault="00DA4E27" w:rsidP="005C7A60">
            <w:pPr>
              <w:rPr>
                <w:rFonts w:asciiTheme="minorHAnsi" w:hAnsiTheme="minorHAnsi" w:cs="Arial"/>
                <w:sz w:val="28"/>
                <w:szCs w:val="28"/>
              </w:rPr>
            </w:pPr>
          </w:p>
        </w:tc>
      </w:tr>
      <w:tr w:rsidR="00D30EBC" w:rsidRPr="00E33647" w:rsidTr="00D30EB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E33647" w:rsidRDefault="00D30EBC" w:rsidP="00D30DC1">
            <w:pPr>
              <w:rPr>
                <w:rFonts w:asciiTheme="minorHAnsi" w:hAnsiTheme="minorHAnsi" w:cs="Arial"/>
                <w:b w:val="0"/>
                <w:sz w:val="20"/>
              </w:rPr>
            </w:pPr>
            <w:r w:rsidRPr="00E33647">
              <w:rPr>
                <w:rFonts w:asciiTheme="minorHAnsi" w:hAnsiTheme="minorHAnsi" w:cs="Arial"/>
              </w:rPr>
              <w:t xml:space="preserve">Toimi näin: </w:t>
            </w:r>
          </w:p>
          <w:p w:rsidR="00DA4E27" w:rsidRPr="00E33647" w:rsidRDefault="00DA4E27" w:rsidP="00D30DC1">
            <w:pPr>
              <w:rPr>
                <w:rFonts w:asciiTheme="minorHAnsi" w:hAnsiTheme="minorHAnsi" w:cs="Arial"/>
                <w:b w:val="0"/>
                <w:sz w:val="20"/>
              </w:rPr>
            </w:pPr>
          </w:p>
          <w:p w:rsidR="005C7A60" w:rsidRPr="00E33647" w:rsidRDefault="005C7A60" w:rsidP="005C7A60">
            <w:pPr>
              <w:spacing w:after="200" w:line="276" w:lineRule="auto"/>
              <w:rPr>
                <w:rFonts w:asciiTheme="minorHAnsi" w:hAnsiTheme="minorHAnsi"/>
                <w:b w:val="0"/>
                <w:bCs w:val="0"/>
                <w:color w:val="auto"/>
                <w:sz w:val="22"/>
              </w:rPr>
            </w:pPr>
            <w:r w:rsidRPr="00E33647">
              <w:rPr>
                <w:rFonts w:asciiTheme="minorHAnsi" w:hAnsiTheme="minorHAnsi"/>
                <w:b w:val="0"/>
                <w:bCs w:val="0"/>
                <w:color w:val="auto"/>
                <w:sz w:val="22"/>
              </w:rPr>
              <w:t xml:space="preserve">Koulutushankkeeseen voit hakea tukea alueesi </w:t>
            </w:r>
            <w:proofErr w:type="spellStart"/>
            <w:r w:rsidRPr="00E33647">
              <w:rPr>
                <w:rFonts w:asciiTheme="minorHAnsi" w:hAnsiTheme="minorHAnsi"/>
                <w:b w:val="0"/>
                <w:bCs w:val="0"/>
                <w:color w:val="auto"/>
                <w:sz w:val="22"/>
              </w:rPr>
              <w:t>ELY-keskuksesta</w:t>
            </w:r>
            <w:proofErr w:type="spellEnd"/>
            <w:r w:rsidRPr="00E33647">
              <w:rPr>
                <w:rFonts w:asciiTheme="minorHAnsi" w:hAnsiTheme="minorHAnsi"/>
                <w:b w:val="0"/>
                <w:bCs w:val="0"/>
                <w:color w:val="auto"/>
                <w:sz w:val="22"/>
              </w:rPr>
              <w:t xml:space="preserve"> tai </w:t>
            </w:r>
            <w:proofErr w:type="spellStart"/>
            <w:r w:rsidRPr="00E33647">
              <w:rPr>
                <w:rFonts w:asciiTheme="minorHAnsi" w:hAnsiTheme="minorHAnsi"/>
                <w:b w:val="0"/>
                <w:bCs w:val="0"/>
                <w:color w:val="auto"/>
                <w:sz w:val="22"/>
              </w:rPr>
              <w:t>Leader-ryhmästä</w:t>
            </w:r>
            <w:proofErr w:type="spellEnd"/>
            <w:r w:rsidRPr="00E33647">
              <w:rPr>
                <w:rFonts w:asciiTheme="minorHAnsi" w:hAnsiTheme="minorHAnsi"/>
                <w:b w:val="0"/>
                <w:bCs w:val="0"/>
                <w:color w:val="auto"/>
                <w:sz w:val="22"/>
              </w:rPr>
              <w:t xml:space="preserve">. </w:t>
            </w:r>
          </w:p>
          <w:p w:rsidR="00DA4E27" w:rsidRPr="00E33647" w:rsidRDefault="005C7A60" w:rsidP="00BC3DA7">
            <w:pPr>
              <w:spacing w:after="200" w:line="276" w:lineRule="auto"/>
              <w:rPr>
                <w:rFonts w:asciiTheme="minorHAnsi" w:hAnsiTheme="minorHAnsi" w:cs="Arial"/>
                <w:b w:val="0"/>
                <w:sz w:val="28"/>
                <w:szCs w:val="28"/>
              </w:rPr>
            </w:pPr>
            <w:r w:rsidRPr="00E33647">
              <w:rPr>
                <w:rFonts w:asciiTheme="minorHAnsi" w:hAnsiTheme="minorHAnsi"/>
                <w:b w:val="0"/>
                <w:bCs w:val="0"/>
                <w:color w:val="auto"/>
                <w:sz w:val="22"/>
              </w:rPr>
              <w:t xml:space="preserve">Yhteystiedot löydät täältä: </w:t>
            </w:r>
            <w:hyperlink r:id="rId7" w:history="1">
              <w:r w:rsidRPr="00E33647">
                <w:rPr>
                  <w:rFonts w:asciiTheme="minorHAnsi" w:hAnsiTheme="minorHAnsi"/>
                  <w:b w:val="0"/>
                  <w:bCs w:val="0"/>
                  <w:color w:val="0000FF" w:themeColor="hyperlink"/>
                  <w:sz w:val="22"/>
                  <w:u w:val="single"/>
                </w:rPr>
                <w:t>http://www.mavi.fi/fi/tietoa-meista/Sivut/kumppanihaku.aspx</w:t>
              </w:r>
            </w:hyperlink>
            <w:r w:rsidRPr="00E33647">
              <w:rPr>
                <w:rFonts w:asciiTheme="minorHAnsi" w:hAnsiTheme="minorHAnsi" w:cs="Arial"/>
                <w:b w:val="0"/>
                <w:bCs w:val="0"/>
                <w:color w:val="auto"/>
                <w:sz w:val="22"/>
              </w:rPr>
              <w:t xml:space="preserve"> </w:t>
            </w:r>
          </w:p>
        </w:tc>
      </w:tr>
      <w:tr w:rsidR="00D30EBC" w:rsidRPr="00E33647" w:rsidTr="00D30EB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E33647" w:rsidRDefault="00D30EBC" w:rsidP="005C7A60">
            <w:pPr>
              <w:rPr>
                <w:rFonts w:asciiTheme="minorHAnsi" w:hAnsiTheme="minorHAnsi" w:cs="Arial"/>
              </w:rPr>
            </w:pPr>
            <w:r w:rsidRPr="00E33647">
              <w:rPr>
                <w:rFonts w:asciiTheme="minorHAnsi" w:hAnsiTheme="minorHAnsi" w:cs="Arial"/>
              </w:rPr>
              <w:t>Sähköinen hakulomake tai asiointipalvelu:</w:t>
            </w:r>
            <w:r w:rsidR="00D30DC1" w:rsidRPr="00E33647">
              <w:rPr>
                <w:rFonts w:asciiTheme="minorHAnsi" w:hAnsiTheme="minorHAnsi" w:cs="Arial"/>
              </w:rPr>
              <w:t xml:space="preserve"> </w:t>
            </w:r>
          </w:p>
          <w:p w:rsidR="005C7A60" w:rsidRPr="00E33647" w:rsidRDefault="005C7A60" w:rsidP="005C7A60">
            <w:pPr>
              <w:rPr>
                <w:rFonts w:asciiTheme="minorHAnsi" w:hAnsiTheme="minorHAnsi" w:cs="Arial"/>
                <w:sz w:val="20"/>
                <w:szCs w:val="28"/>
              </w:rPr>
            </w:pPr>
          </w:p>
          <w:p w:rsidR="005C7A60" w:rsidRPr="00E33647" w:rsidRDefault="00E33647" w:rsidP="005C7A60">
            <w:pPr>
              <w:rPr>
                <w:rFonts w:asciiTheme="minorHAnsi" w:hAnsiTheme="minorHAnsi" w:cs="Arial"/>
                <w:b w:val="0"/>
                <w:sz w:val="18"/>
                <w:szCs w:val="18"/>
              </w:rPr>
            </w:pPr>
            <w:hyperlink r:id="rId8" w:history="1">
              <w:r w:rsidR="005C7A60" w:rsidRPr="00E33647">
                <w:rPr>
                  <w:rStyle w:val="Hyperlinkki"/>
                  <w:rFonts w:asciiTheme="minorHAnsi" w:hAnsiTheme="minorHAnsi" w:cs="Arial"/>
                  <w:sz w:val="18"/>
                  <w:szCs w:val="18"/>
                </w:rPr>
                <w:t>http://hyrra.mavi.fi/login.html</w:t>
              </w:r>
            </w:hyperlink>
          </w:p>
        </w:tc>
      </w:tr>
      <w:tr w:rsidR="00D30EBC" w:rsidRPr="00E33647" w:rsidTr="00086CF5">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E33647" w:rsidRDefault="00D30EBC" w:rsidP="00240F60">
            <w:pPr>
              <w:rPr>
                <w:rFonts w:asciiTheme="minorHAnsi" w:hAnsiTheme="minorHAnsi" w:cs="Arial"/>
              </w:rPr>
            </w:pPr>
            <w:r w:rsidRPr="00E33647">
              <w:rPr>
                <w:rFonts w:asciiTheme="minorHAnsi" w:hAnsiTheme="minorHAnsi" w:cs="Arial"/>
              </w:rPr>
              <w:t xml:space="preserve">Katso myös: </w:t>
            </w:r>
          </w:p>
          <w:p w:rsidR="00240F60" w:rsidRPr="00E33647" w:rsidRDefault="00240F60" w:rsidP="00240F60">
            <w:pPr>
              <w:rPr>
                <w:rFonts w:asciiTheme="minorHAnsi" w:hAnsiTheme="minorHAnsi" w:cs="Arial"/>
                <w:sz w:val="22"/>
              </w:rPr>
            </w:pPr>
          </w:p>
          <w:p w:rsidR="00240F60" w:rsidRPr="00E33647" w:rsidRDefault="00240F60" w:rsidP="00240F60">
            <w:pPr>
              <w:spacing w:after="200" w:line="276" w:lineRule="auto"/>
              <w:rPr>
                <w:rFonts w:asciiTheme="minorHAnsi" w:hAnsiTheme="minorHAnsi"/>
                <w:b w:val="0"/>
                <w:bCs w:val="0"/>
                <w:color w:val="auto"/>
                <w:sz w:val="22"/>
              </w:rPr>
            </w:pPr>
            <w:r w:rsidRPr="00E33647">
              <w:rPr>
                <w:rFonts w:asciiTheme="minorHAnsi" w:hAnsiTheme="minorHAnsi"/>
                <w:b w:val="0"/>
                <w:bCs w:val="0"/>
                <w:color w:val="auto"/>
                <w:sz w:val="22"/>
              </w:rPr>
              <w:t xml:space="preserve">Laki maaseudun kehittämisen tukemisesta: </w:t>
            </w:r>
          </w:p>
          <w:p w:rsidR="00240F60" w:rsidRPr="00E33647" w:rsidRDefault="00E33647" w:rsidP="00240F60">
            <w:pPr>
              <w:spacing w:after="200" w:line="276" w:lineRule="auto"/>
              <w:rPr>
                <w:rFonts w:asciiTheme="minorHAnsi" w:hAnsiTheme="minorHAnsi"/>
                <w:b w:val="0"/>
                <w:bCs w:val="0"/>
                <w:color w:val="auto"/>
                <w:sz w:val="22"/>
              </w:rPr>
            </w:pPr>
            <w:hyperlink r:id="rId9" w:history="1">
              <w:r w:rsidR="00240F60" w:rsidRPr="00E33647">
                <w:rPr>
                  <w:rFonts w:asciiTheme="minorHAnsi" w:hAnsiTheme="minorHAnsi"/>
                  <w:b w:val="0"/>
                  <w:bCs w:val="0"/>
                  <w:color w:val="0000FF" w:themeColor="hyperlink"/>
                  <w:sz w:val="22"/>
                  <w:u w:val="single"/>
                </w:rPr>
                <w:t>http://finlex.fi/fi/laki/ajantasa/2014/20140028</w:t>
              </w:r>
            </w:hyperlink>
            <w:r w:rsidR="00240F60" w:rsidRPr="00E33647">
              <w:rPr>
                <w:rFonts w:asciiTheme="minorHAnsi" w:hAnsiTheme="minorHAnsi"/>
                <w:b w:val="0"/>
                <w:bCs w:val="0"/>
                <w:color w:val="auto"/>
                <w:sz w:val="22"/>
              </w:rPr>
              <w:t xml:space="preserve"> </w:t>
            </w:r>
          </w:p>
          <w:p w:rsidR="00240F60" w:rsidRPr="00E33647" w:rsidRDefault="00240F60" w:rsidP="00240F60">
            <w:pPr>
              <w:spacing w:after="200" w:line="276" w:lineRule="auto"/>
              <w:rPr>
                <w:rFonts w:asciiTheme="minorHAnsi" w:hAnsiTheme="minorHAnsi"/>
                <w:b w:val="0"/>
                <w:bCs w:val="0"/>
                <w:color w:val="auto"/>
                <w:sz w:val="22"/>
              </w:rPr>
            </w:pPr>
            <w:r w:rsidRPr="00E33647">
              <w:rPr>
                <w:rFonts w:asciiTheme="minorHAnsi" w:hAnsiTheme="minorHAnsi"/>
                <w:b w:val="0"/>
                <w:bCs w:val="0"/>
                <w:color w:val="auto"/>
                <w:sz w:val="22"/>
              </w:rPr>
              <w:t xml:space="preserve">Hanketoimintaa ohjaava valtioneuvoston asetus: </w:t>
            </w:r>
          </w:p>
          <w:p w:rsidR="00240F60" w:rsidRPr="00E33647" w:rsidRDefault="00E33647" w:rsidP="00E33647">
            <w:pPr>
              <w:spacing w:after="200" w:line="276" w:lineRule="auto"/>
              <w:rPr>
                <w:rFonts w:asciiTheme="minorHAnsi" w:hAnsiTheme="minorHAnsi" w:cs="Arial"/>
              </w:rPr>
            </w:pPr>
            <w:hyperlink r:id="rId10" w:history="1">
              <w:r w:rsidR="00240F60" w:rsidRPr="00E33647">
                <w:rPr>
                  <w:rFonts w:asciiTheme="minorHAnsi" w:hAnsiTheme="minorHAnsi"/>
                  <w:b w:val="0"/>
                  <w:bCs w:val="0"/>
                  <w:color w:val="0000FF" w:themeColor="hyperlink"/>
                  <w:sz w:val="22"/>
                  <w:u w:val="single"/>
                </w:rPr>
                <w:t>http://finlex.fi/fi/laki/ajantasa/2014/20141174</w:t>
              </w:r>
            </w:hyperlink>
            <w:bookmarkStart w:id="0" w:name="_GoBack"/>
            <w:bookmarkEnd w:id="0"/>
          </w:p>
        </w:tc>
      </w:tr>
      <w:tr w:rsidR="005C7A60" w:rsidRPr="00E33647"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240F60" w:rsidRPr="00E33647" w:rsidRDefault="00E33647" w:rsidP="00240F60">
            <w:pPr>
              <w:rPr>
                <w:rStyle w:val="Hyperlinkki"/>
                <w:rFonts w:asciiTheme="minorHAnsi" w:hAnsiTheme="minorHAnsi"/>
                <w:sz w:val="22"/>
              </w:rPr>
            </w:pPr>
            <w:hyperlink r:id="rId11" w:history="1">
              <w:r w:rsidR="00240F60" w:rsidRPr="00E33647">
                <w:rPr>
                  <w:rStyle w:val="Hyperlinkki"/>
                  <w:rFonts w:asciiTheme="minorHAnsi" w:hAnsiTheme="minorHAnsi"/>
                  <w:sz w:val="22"/>
                </w:rPr>
                <w:t>www.maaseutu.fi</w:t>
              </w:r>
            </w:hyperlink>
          </w:p>
          <w:p w:rsidR="00240F60" w:rsidRPr="00E33647" w:rsidRDefault="00240F60" w:rsidP="00240F60">
            <w:pPr>
              <w:rPr>
                <w:rFonts w:asciiTheme="minorHAnsi" w:hAnsiTheme="minorHAnsi"/>
                <w:color w:val="00B050"/>
                <w:sz w:val="22"/>
              </w:rPr>
            </w:pPr>
          </w:p>
          <w:p w:rsidR="005C7A60" w:rsidRPr="00E33647" w:rsidRDefault="00E33647" w:rsidP="00240F60">
            <w:pPr>
              <w:rPr>
                <w:rStyle w:val="Hyperlinkki"/>
                <w:rFonts w:asciiTheme="minorHAnsi" w:hAnsiTheme="minorHAnsi"/>
                <w:sz w:val="22"/>
              </w:rPr>
            </w:pPr>
            <w:hyperlink r:id="rId12" w:history="1">
              <w:r w:rsidR="00240F60" w:rsidRPr="00E33647">
                <w:rPr>
                  <w:rStyle w:val="Hyperlinkki"/>
                  <w:rFonts w:asciiTheme="minorHAnsi" w:hAnsiTheme="minorHAnsi"/>
                  <w:sz w:val="22"/>
                </w:rPr>
                <w:t>http://www.mavi.fi/fi/tuet-ja-palvelut/hanketoimija/Sivut/maaseudun_hanketuet.aspx</w:t>
              </w:r>
            </w:hyperlink>
          </w:p>
          <w:p w:rsidR="00240F60" w:rsidRPr="00E33647" w:rsidRDefault="00240F60" w:rsidP="00240F60">
            <w:pPr>
              <w:rPr>
                <w:rFonts w:asciiTheme="minorHAnsi" w:hAnsiTheme="minorHAnsi" w:cs="Arial"/>
                <w:color w:val="00B050"/>
              </w:rPr>
            </w:pPr>
          </w:p>
        </w:tc>
      </w:tr>
    </w:tbl>
    <w:p w:rsidR="00D30EBC" w:rsidRPr="00E33647" w:rsidRDefault="00D30EBC" w:rsidP="00BC3DA7">
      <w:pPr>
        <w:ind w:hanging="142"/>
        <w:rPr>
          <w:rFonts w:asciiTheme="minorHAnsi" w:hAnsiTheme="minorHAnsi" w:cs="Arial"/>
          <w:sz w:val="28"/>
          <w:szCs w:val="28"/>
        </w:rPr>
      </w:pPr>
    </w:p>
    <w:sectPr w:rsidR="00D30EBC" w:rsidRPr="00E33647"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052E"/>
    <w:multiLevelType w:val="hybridMultilevel"/>
    <w:tmpl w:val="7223052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7223052F"/>
    <w:multiLevelType w:val="hybridMultilevel"/>
    <w:tmpl w:val="722305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72230537"/>
    <w:multiLevelType w:val="hybridMultilevel"/>
    <w:tmpl w:val="72230537"/>
    <w:lvl w:ilvl="0" w:tplc="C6FA0FEA">
      <w:start w:val="1"/>
      <w:numFmt w:val="bullet"/>
      <w:lvlText w:val=""/>
      <w:lvlJc w:val="left"/>
      <w:pPr>
        <w:ind w:left="720" w:hanging="360"/>
      </w:pPr>
      <w:rPr>
        <w:rFonts w:ascii="Symbol" w:hAnsi="Symbol"/>
      </w:rPr>
    </w:lvl>
    <w:lvl w:ilvl="1" w:tplc="F3AA7674">
      <w:start w:val="1"/>
      <w:numFmt w:val="bullet"/>
      <w:lvlText w:val="o"/>
      <w:lvlJc w:val="left"/>
      <w:pPr>
        <w:tabs>
          <w:tab w:val="num" w:pos="1440"/>
        </w:tabs>
        <w:ind w:left="1440" w:hanging="360"/>
      </w:pPr>
      <w:rPr>
        <w:rFonts w:ascii="Courier New" w:hAnsi="Courier New"/>
      </w:rPr>
    </w:lvl>
    <w:lvl w:ilvl="2" w:tplc="A31E60D2">
      <w:start w:val="1"/>
      <w:numFmt w:val="bullet"/>
      <w:lvlText w:val=""/>
      <w:lvlJc w:val="left"/>
      <w:pPr>
        <w:tabs>
          <w:tab w:val="num" w:pos="2160"/>
        </w:tabs>
        <w:ind w:left="2160" w:hanging="360"/>
      </w:pPr>
      <w:rPr>
        <w:rFonts w:ascii="Wingdings" w:hAnsi="Wingdings"/>
      </w:rPr>
    </w:lvl>
    <w:lvl w:ilvl="3" w:tplc="D0F6EAFC">
      <w:start w:val="1"/>
      <w:numFmt w:val="bullet"/>
      <w:lvlText w:val=""/>
      <w:lvlJc w:val="left"/>
      <w:pPr>
        <w:tabs>
          <w:tab w:val="num" w:pos="2880"/>
        </w:tabs>
        <w:ind w:left="2880" w:hanging="360"/>
      </w:pPr>
      <w:rPr>
        <w:rFonts w:ascii="Symbol" w:hAnsi="Symbol"/>
      </w:rPr>
    </w:lvl>
    <w:lvl w:ilvl="4" w:tplc="726613C2">
      <w:start w:val="1"/>
      <w:numFmt w:val="bullet"/>
      <w:lvlText w:val="o"/>
      <w:lvlJc w:val="left"/>
      <w:pPr>
        <w:tabs>
          <w:tab w:val="num" w:pos="3600"/>
        </w:tabs>
        <w:ind w:left="3600" w:hanging="360"/>
      </w:pPr>
      <w:rPr>
        <w:rFonts w:ascii="Courier New" w:hAnsi="Courier New"/>
      </w:rPr>
    </w:lvl>
    <w:lvl w:ilvl="5" w:tplc="7E481232">
      <w:start w:val="1"/>
      <w:numFmt w:val="bullet"/>
      <w:lvlText w:val=""/>
      <w:lvlJc w:val="left"/>
      <w:pPr>
        <w:tabs>
          <w:tab w:val="num" w:pos="4320"/>
        </w:tabs>
        <w:ind w:left="4320" w:hanging="360"/>
      </w:pPr>
      <w:rPr>
        <w:rFonts w:ascii="Wingdings" w:hAnsi="Wingdings"/>
      </w:rPr>
    </w:lvl>
    <w:lvl w:ilvl="6" w:tplc="7FAEC9A8">
      <w:start w:val="1"/>
      <w:numFmt w:val="bullet"/>
      <w:lvlText w:val=""/>
      <w:lvlJc w:val="left"/>
      <w:pPr>
        <w:tabs>
          <w:tab w:val="num" w:pos="5040"/>
        </w:tabs>
        <w:ind w:left="5040" w:hanging="360"/>
      </w:pPr>
      <w:rPr>
        <w:rFonts w:ascii="Symbol" w:hAnsi="Symbol"/>
      </w:rPr>
    </w:lvl>
    <w:lvl w:ilvl="7" w:tplc="BEC29926">
      <w:start w:val="1"/>
      <w:numFmt w:val="bullet"/>
      <w:lvlText w:val="o"/>
      <w:lvlJc w:val="left"/>
      <w:pPr>
        <w:tabs>
          <w:tab w:val="num" w:pos="5760"/>
        </w:tabs>
        <w:ind w:left="5760" w:hanging="360"/>
      </w:pPr>
      <w:rPr>
        <w:rFonts w:ascii="Courier New" w:hAnsi="Courier New"/>
      </w:rPr>
    </w:lvl>
    <w:lvl w:ilvl="8" w:tplc="DAD236B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503DC"/>
    <w:rsid w:val="00086CF5"/>
    <w:rsid w:val="001146F4"/>
    <w:rsid w:val="00146AF3"/>
    <w:rsid w:val="001858EC"/>
    <w:rsid w:val="001B1436"/>
    <w:rsid w:val="001C0D73"/>
    <w:rsid w:val="0020227D"/>
    <w:rsid w:val="00240F60"/>
    <w:rsid w:val="00244290"/>
    <w:rsid w:val="00250DBA"/>
    <w:rsid w:val="002E6C11"/>
    <w:rsid w:val="002F4DF4"/>
    <w:rsid w:val="003506CB"/>
    <w:rsid w:val="00401407"/>
    <w:rsid w:val="00443889"/>
    <w:rsid w:val="00481FA1"/>
    <w:rsid w:val="004D5E40"/>
    <w:rsid w:val="005916D2"/>
    <w:rsid w:val="005C7A60"/>
    <w:rsid w:val="0065057C"/>
    <w:rsid w:val="00664840"/>
    <w:rsid w:val="006909A1"/>
    <w:rsid w:val="006A1AD0"/>
    <w:rsid w:val="007B42A1"/>
    <w:rsid w:val="00855E6D"/>
    <w:rsid w:val="008C7650"/>
    <w:rsid w:val="00B10AFE"/>
    <w:rsid w:val="00BA1E92"/>
    <w:rsid w:val="00BC025B"/>
    <w:rsid w:val="00BC3DA7"/>
    <w:rsid w:val="00CF7DC5"/>
    <w:rsid w:val="00D30DC1"/>
    <w:rsid w:val="00D30EBC"/>
    <w:rsid w:val="00D62E2D"/>
    <w:rsid w:val="00D772AC"/>
    <w:rsid w:val="00DA4E27"/>
    <w:rsid w:val="00E306A0"/>
    <w:rsid w:val="00E33647"/>
    <w:rsid w:val="00F27736"/>
    <w:rsid w:val="00F930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5C7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5C7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A7B94-E212-4B0E-BE19-02BE6DA5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526</Words>
  <Characters>4262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5</cp:revision>
  <dcterms:created xsi:type="dcterms:W3CDTF">2015-07-01T06:29:00Z</dcterms:created>
  <dcterms:modified xsi:type="dcterms:W3CDTF">2017-10-05T16:02:00Z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957661558</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ReviewingToolsShownOnce">
    <vt:lpwstr/>
  </property>
</Properties>
</file>